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439DE2D7" w:rsidR="006E6F6F" w:rsidRDefault="006E6F6F" w:rsidP="00924533">
      <w:pPr>
        <w:pStyle w:val="BodyText"/>
        <w:numPr>
          <w:ilvl w:val="2"/>
          <w:numId w:val="30"/>
        </w:numPr>
        <w:rPr>
          <w:rFonts w:ascii="Helvetica-Light" w:hAnsi="Helvetica-Light"/>
          <w:b/>
          <w:bCs/>
          <w:sz w:val="22"/>
          <w:szCs w:val="22"/>
        </w:rPr>
      </w:pPr>
      <w:r>
        <w:rPr>
          <w:rFonts w:ascii="Helvetica-Light" w:hAnsi="Helvetica-Light"/>
          <w:b/>
          <w:bCs/>
          <w:sz w:val="22"/>
          <w:szCs w:val="22"/>
        </w:rPr>
        <w:t>T</w:t>
      </w:r>
      <w:r w:rsidR="00B153C4">
        <w:rPr>
          <w:rFonts w:ascii="Helvetica-Light" w:hAnsi="Helvetica-Light"/>
          <w:b/>
          <w:bCs/>
          <w:sz w:val="22"/>
          <w:szCs w:val="22"/>
        </w:rPr>
        <w:t xml:space="preserve">EMPLATE: </w:t>
      </w:r>
      <w:r w:rsidR="00924533">
        <w:rPr>
          <w:rFonts w:ascii="Helvetica-Light" w:hAnsi="Helvetica-Light"/>
          <w:b/>
          <w:bCs/>
          <w:i/>
          <w:iCs/>
          <w:sz w:val="22"/>
          <w:szCs w:val="22"/>
        </w:rPr>
        <w:t>Professional risk management strategies</w:t>
      </w:r>
      <w:r w:rsidR="00350FA3">
        <w:rPr>
          <w:rFonts w:ascii="Helvetica-Light" w:hAnsi="Helvetica-Light"/>
          <w:b/>
          <w:bCs/>
          <w:i/>
          <w:iCs/>
          <w:sz w:val="22"/>
          <w:szCs w:val="22"/>
        </w:rPr>
        <w:t xml:space="preserve"> </w:t>
      </w:r>
      <w:r>
        <w:rPr>
          <w:rFonts w:ascii="Helvetica-Light" w:hAnsi="Helvetica-Light"/>
          <w:b/>
          <w:bCs/>
          <w:sz w:val="22"/>
          <w:szCs w:val="22"/>
        </w:rPr>
        <w:t>questions which the applicant association is required to complete</w:t>
      </w:r>
    </w:p>
    <w:p w14:paraId="4015B938" w14:textId="3F5E54A7" w:rsidR="002D6598" w:rsidRPr="00C743D6" w:rsidRDefault="006E6F6F" w:rsidP="006E70D6">
      <w:pPr>
        <w:pStyle w:val="BodyText"/>
        <w:spacing w:before="120" w:after="120"/>
        <w:ind w:left="720"/>
        <w:rPr>
          <w:rFonts w:ascii="Helvetica-Light" w:hAnsi="Helvetica-Light"/>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applying for a </w:t>
      </w:r>
      <w:r w:rsidR="008875D3">
        <w:rPr>
          <w:rFonts w:ascii="Helvetica-Light" w:hAnsi="Helvetica-Light"/>
          <w:sz w:val="20"/>
          <w:szCs w:val="20"/>
          <w:lang w:bidi="en-AU"/>
        </w:rPr>
        <w:t>P</w:t>
      </w:r>
      <w:r w:rsidR="00350FA3" w:rsidRPr="00350FA3">
        <w:rPr>
          <w:rFonts w:ascii="Helvetica-Light" w:hAnsi="Helvetica-Light"/>
          <w:sz w:val="20"/>
          <w:szCs w:val="20"/>
          <w:lang w:bidi="en-AU"/>
        </w:rPr>
        <w:t xml:space="preserve">rofessional </w:t>
      </w:r>
      <w:r w:rsidR="008875D3">
        <w:rPr>
          <w:rFonts w:ascii="Helvetica-Light" w:hAnsi="Helvetica-Light"/>
          <w:sz w:val="20"/>
          <w:szCs w:val="20"/>
          <w:lang w:bidi="en-AU"/>
        </w:rPr>
        <w:t>S</w:t>
      </w:r>
      <w:r w:rsidR="00350FA3" w:rsidRPr="00350FA3">
        <w:rPr>
          <w:rFonts w:ascii="Helvetica-Light" w:hAnsi="Helvetica-Light"/>
          <w:sz w:val="20"/>
          <w:szCs w:val="20"/>
          <w:lang w:bidi="en-AU"/>
        </w:rPr>
        <w:t xml:space="preserve">tandards </w:t>
      </w:r>
      <w:r w:rsidR="008875D3">
        <w:rPr>
          <w:rFonts w:ascii="Helvetica-Light" w:hAnsi="Helvetica-Light"/>
          <w:sz w:val="20"/>
          <w:szCs w:val="20"/>
          <w:lang w:bidi="en-AU"/>
        </w:rPr>
        <w:t>S</w:t>
      </w:r>
      <w:r w:rsidR="00350FA3" w:rsidRPr="00350FA3">
        <w:rPr>
          <w:rFonts w:ascii="Helvetica-Light" w:hAnsi="Helvetica-Light"/>
          <w:sz w:val="20"/>
          <w:szCs w:val="20"/>
          <w:lang w:bidi="en-AU"/>
        </w:rPr>
        <w:t>che</w:t>
      </w:r>
      <w:r w:rsidR="00350FA3" w:rsidRPr="00EB52B1">
        <w:rPr>
          <w:rFonts w:ascii="Helvetica-Light" w:hAnsi="Helvetica-Light"/>
          <w:sz w:val="20"/>
          <w:szCs w:val="20"/>
          <w:lang w:bidi="en-AU"/>
        </w:rPr>
        <w:t>me</w:t>
      </w:r>
      <w:r w:rsidR="00D533FB" w:rsidRPr="00EB52B1">
        <w:rPr>
          <w:rFonts w:ascii="Helvetica-Light" w:hAnsi="Helvetica-Light"/>
          <w:sz w:val="20"/>
          <w:szCs w:val="20"/>
          <w:lang w:bidi="en-AU"/>
        </w:rPr>
        <w:t xml:space="preserve"> maintains </w:t>
      </w:r>
      <w:r w:rsidR="00924533" w:rsidRPr="00EB52B1">
        <w:rPr>
          <w:rFonts w:ascii="Helvetica-Light" w:hAnsi="Helvetica-Light"/>
          <w:sz w:val="20"/>
          <w:szCs w:val="20"/>
          <w:lang w:bidi="en-AU"/>
        </w:rPr>
        <w:t>profession</w:t>
      </w:r>
      <w:r w:rsidR="001861F8" w:rsidRPr="00EB52B1">
        <w:rPr>
          <w:rFonts w:ascii="Helvetica-Light" w:hAnsi="Helvetica-Light"/>
          <w:sz w:val="20"/>
          <w:szCs w:val="20"/>
          <w:lang w:bidi="en-AU"/>
        </w:rPr>
        <w:t>-focused risk management</w:t>
      </w:r>
      <w:r w:rsidR="00924533" w:rsidRPr="00EB52B1">
        <w:rPr>
          <w:rFonts w:ascii="Helvetica-Light" w:hAnsi="Helvetica-Light"/>
          <w:sz w:val="20"/>
          <w:szCs w:val="20"/>
          <w:lang w:bidi="en-AU"/>
        </w:rPr>
        <w:t>.</w:t>
      </w:r>
      <w:r w:rsidR="00D533FB" w:rsidRPr="00D533FB">
        <w:rPr>
          <w:rFonts w:ascii="Helvetica-Light" w:hAnsi="Helvetica-Light"/>
          <w:sz w:val="20"/>
          <w:szCs w:val="20"/>
          <w:lang w:bidi="en-AU"/>
        </w:rPr>
        <w:t xml:space="preserve"> </w:t>
      </w:r>
    </w:p>
    <w:p w14:paraId="4458D385" w14:textId="107AD98D" w:rsidR="00D713F9" w:rsidRPr="00350FA3" w:rsidRDefault="002D6598" w:rsidP="006E70D6">
      <w:pPr>
        <w:pStyle w:val="BodyText"/>
        <w:spacing w:before="120" w:after="240"/>
        <w:ind w:left="720"/>
        <w:rPr>
          <w:rFonts w:ascii="Helvetica-Light" w:hAnsi="Helvetica-Light"/>
          <w:i/>
          <w:iCs/>
          <w:sz w:val="20"/>
          <w:szCs w:val="20"/>
        </w:rPr>
      </w:pPr>
      <w:r w:rsidRPr="00C743D6">
        <w:rPr>
          <w:rFonts w:ascii="Helvetica-Light" w:hAnsi="Helvetica-Light"/>
          <w:sz w:val="20"/>
          <w:szCs w:val="20"/>
        </w:rPr>
        <w:t>To assist you, see Guidance</w:t>
      </w:r>
      <w:r w:rsidRPr="00081B65">
        <w:rPr>
          <w:rFonts w:ascii="Helvetica-Light" w:hAnsi="Helvetica-Light"/>
          <w:i/>
          <w:iCs/>
          <w:sz w:val="20"/>
          <w:szCs w:val="20"/>
        </w:rPr>
        <w:t xml:space="preserve"> </w:t>
      </w:r>
      <w:r w:rsidR="00924533" w:rsidRPr="00F516B9">
        <w:rPr>
          <w:rFonts w:ascii="Helvetica-Light" w:hAnsi="Helvetica-Light"/>
          <w:sz w:val="20"/>
          <w:szCs w:val="20"/>
        </w:rPr>
        <w:t>4.0.2</w:t>
      </w:r>
      <w:r w:rsidR="00924533">
        <w:rPr>
          <w:rFonts w:ascii="Helvetica-Light" w:hAnsi="Helvetica-Light"/>
          <w:i/>
          <w:iCs/>
          <w:sz w:val="20"/>
          <w:szCs w:val="20"/>
        </w:rPr>
        <w:t xml:space="preserve"> Professional risk management strategies</w:t>
      </w:r>
      <w:bookmarkStart w:id="0" w:name="_Hlk69551819"/>
      <w:r w:rsidR="008E5C9C">
        <w:rPr>
          <w:rFonts w:ascii="Helvetica-Light" w:hAnsi="Helvetica-Light"/>
          <w:i/>
          <w:iCs/>
          <w:sz w:val="20"/>
          <w:szCs w:val="20"/>
        </w:rPr>
        <w:t>.</w:t>
      </w:r>
    </w:p>
    <w:tbl>
      <w:tblPr>
        <w:tblStyle w:val="TableGrid"/>
        <w:tblpPr w:leftFromText="180" w:rightFromText="180" w:vertAnchor="text" w:tblpY="1"/>
        <w:tblOverlap w:val="never"/>
        <w:tblW w:w="9085" w:type="dxa"/>
        <w:tblLook w:val="04A0" w:firstRow="1" w:lastRow="0" w:firstColumn="1" w:lastColumn="0" w:noHBand="0" w:noVBand="1"/>
      </w:tblPr>
      <w:tblGrid>
        <w:gridCol w:w="4855"/>
        <w:gridCol w:w="4230"/>
      </w:tblGrid>
      <w:tr w:rsidR="0060747C" w:rsidRPr="00F516B9" w14:paraId="7B01CA50" w14:textId="77777777" w:rsidTr="00C84627">
        <w:trPr>
          <w:cantSplit/>
          <w:trHeight w:val="269"/>
        </w:trPr>
        <w:tc>
          <w:tcPr>
            <w:tcW w:w="9085" w:type="dxa"/>
            <w:gridSpan w:val="2"/>
            <w:shd w:val="clear" w:color="auto" w:fill="000000" w:themeFill="text1"/>
          </w:tcPr>
          <w:p w14:paraId="7F9E67D1" w14:textId="5A217165" w:rsidR="0060747C" w:rsidRPr="00F516B9" w:rsidRDefault="0060747C" w:rsidP="00C84627">
            <w:pPr>
              <w:pStyle w:val="ListParagraph"/>
              <w:numPr>
                <w:ilvl w:val="0"/>
                <w:numId w:val="21"/>
              </w:numPr>
              <w:rPr>
                <w:rFonts w:ascii="Helvetica-Light" w:hAnsi="Helvetica-Light"/>
                <w:b/>
                <w:bCs/>
                <w:sz w:val="20"/>
                <w:szCs w:val="20"/>
              </w:rPr>
            </w:pPr>
            <w:r w:rsidRPr="00F516B9">
              <w:rPr>
                <w:rFonts w:ascii="Helvetica-Light" w:hAnsi="Helvetica-Light"/>
                <w:b/>
                <w:bCs/>
                <w:sz w:val="20"/>
                <w:szCs w:val="20"/>
              </w:rPr>
              <w:t>OVERVIEW</w:t>
            </w:r>
            <w:r w:rsidRPr="00F516B9">
              <w:rPr>
                <w:rFonts w:ascii="Helvetica-Light" w:hAnsi="Helvetica-Light"/>
                <w:b/>
                <w:bCs/>
                <w:i/>
                <w:iCs/>
                <w:sz w:val="20"/>
                <w:szCs w:val="20"/>
              </w:rPr>
              <w:t xml:space="preserve"> </w:t>
            </w:r>
          </w:p>
        </w:tc>
      </w:tr>
      <w:tr w:rsidR="0060747C" w:rsidRPr="00F516B9" w14:paraId="53D659D8" w14:textId="77777777" w:rsidTr="0060747C">
        <w:trPr>
          <w:trHeight w:val="1963"/>
        </w:trPr>
        <w:tc>
          <w:tcPr>
            <w:tcW w:w="9085" w:type="dxa"/>
            <w:gridSpan w:val="2"/>
          </w:tcPr>
          <w:p w14:paraId="18F3C70E" w14:textId="77777777" w:rsidR="0060747C" w:rsidRPr="00F516B9" w:rsidRDefault="0060747C" w:rsidP="0060747C">
            <w:pPr>
              <w:spacing w:after="60"/>
              <w:rPr>
                <w:rFonts w:ascii="Helvetica-Light" w:hAnsi="Helvetica-Light"/>
                <w:sz w:val="18"/>
                <w:szCs w:val="18"/>
              </w:rPr>
            </w:pPr>
            <w:r w:rsidRPr="00F516B9">
              <w:rPr>
                <w:rFonts w:ascii="Helvetica-Light" w:hAnsi="Helvetica-Light"/>
                <w:sz w:val="18"/>
                <w:szCs w:val="18"/>
              </w:rPr>
              <w:t xml:space="preserve">In this application framework, your association’s professional risk management strategies are orientated into two categories for consideration by the Councils: member-facing and consumer-facing. </w:t>
            </w:r>
          </w:p>
          <w:p w14:paraId="0DF0A1A3" w14:textId="7BAC382B" w:rsidR="0060747C" w:rsidRPr="00F516B9" w:rsidRDefault="0060747C" w:rsidP="0060747C">
            <w:pPr>
              <w:spacing w:after="60"/>
              <w:rPr>
                <w:rFonts w:ascii="Helvetica-Light" w:hAnsi="Helvetica-Light"/>
                <w:sz w:val="18"/>
                <w:szCs w:val="18"/>
              </w:rPr>
            </w:pPr>
            <w:r w:rsidRPr="00F516B9">
              <w:rPr>
                <w:rFonts w:ascii="Helvetica-Light" w:hAnsi="Helvetica-Light"/>
                <w:sz w:val="18"/>
                <w:szCs w:val="18"/>
              </w:rPr>
              <w:t xml:space="preserve">The questions for this module consider the following member-facing professional risk management strategies:    </w:t>
            </w:r>
          </w:p>
          <w:p w14:paraId="3CF83EB1" w14:textId="08254C16" w:rsidR="0060747C" w:rsidRPr="00F516B9" w:rsidRDefault="0060747C" w:rsidP="0060747C">
            <w:pPr>
              <w:numPr>
                <w:ilvl w:val="0"/>
                <w:numId w:val="31"/>
              </w:numPr>
              <w:spacing w:after="60"/>
              <w:rPr>
                <w:rFonts w:ascii="Helvetica-Light" w:hAnsi="Helvetica-Light"/>
                <w:b/>
                <w:bCs/>
                <w:sz w:val="18"/>
                <w:szCs w:val="18"/>
              </w:rPr>
            </w:pPr>
            <w:r w:rsidRPr="00F516B9">
              <w:rPr>
                <w:rFonts w:ascii="Helvetica-Light" w:hAnsi="Helvetica-Light"/>
                <w:b/>
                <w:bCs/>
                <w:sz w:val="18"/>
                <w:szCs w:val="18"/>
              </w:rPr>
              <w:t>Association membership requirements (entry, annual, ongoing, fit</w:t>
            </w:r>
            <w:r w:rsidR="00F516B9">
              <w:rPr>
                <w:rFonts w:ascii="Helvetica-Light" w:hAnsi="Helvetica-Light"/>
                <w:b/>
                <w:bCs/>
                <w:sz w:val="18"/>
                <w:szCs w:val="18"/>
              </w:rPr>
              <w:t>,</w:t>
            </w:r>
            <w:r w:rsidRPr="00F516B9">
              <w:rPr>
                <w:rFonts w:ascii="Helvetica-Light" w:hAnsi="Helvetica-Light"/>
                <w:b/>
                <w:bCs/>
                <w:sz w:val="18"/>
                <w:szCs w:val="18"/>
              </w:rPr>
              <w:t xml:space="preserve"> and proper)</w:t>
            </w:r>
          </w:p>
          <w:p w14:paraId="1A89CE77" w14:textId="77777777" w:rsidR="0060747C" w:rsidRPr="00F516B9" w:rsidRDefault="0060747C" w:rsidP="0060747C">
            <w:pPr>
              <w:numPr>
                <w:ilvl w:val="0"/>
                <w:numId w:val="31"/>
              </w:numPr>
              <w:spacing w:after="60"/>
              <w:rPr>
                <w:rFonts w:ascii="Helvetica-Light" w:hAnsi="Helvetica-Light"/>
                <w:b/>
                <w:bCs/>
                <w:sz w:val="18"/>
                <w:szCs w:val="18"/>
              </w:rPr>
            </w:pPr>
            <w:r w:rsidRPr="00F516B9">
              <w:rPr>
                <w:rFonts w:ascii="Helvetica-Light" w:hAnsi="Helvetica-Light"/>
                <w:b/>
                <w:bCs/>
                <w:sz w:val="18"/>
                <w:szCs w:val="18"/>
              </w:rPr>
              <w:t>Continuing occupational education requirements (continuing professional development)</w:t>
            </w:r>
          </w:p>
          <w:p w14:paraId="33C26D9E" w14:textId="77777777" w:rsidR="0060747C" w:rsidRPr="00F516B9" w:rsidRDefault="0060747C" w:rsidP="0060747C">
            <w:pPr>
              <w:numPr>
                <w:ilvl w:val="0"/>
                <w:numId w:val="31"/>
              </w:numPr>
              <w:spacing w:after="60"/>
              <w:rPr>
                <w:rFonts w:ascii="Helvetica-Light" w:hAnsi="Helvetica-Light"/>
                <w:b/>
                <w:bCs/>
                <w:sz w:val="18"/>
                <w:szCs w:val="18"/>
              </w:rPr>
            </w:pPr>
            <w:r w:rsidRPr="00F516B9">
              <w:rPr>
                <w:rFonts w:ascii="Helvetica-Light" w:hAnsi="Helvetica-Light"/>
                <w:b/>
                <w:bCs/>
                <w:sz w:val="18"/>
                <w:szCs w:val="18"/>
              </w:rPr>
              <w:t>Quality management undertaken by the association (including member audits, quality reviews)</w:t>
            </w:r>
          </w:p>
          <w:p w14:paraId="5F7D06CB" w14:textId="53F8BADB" w:rsidR="0060747C" w:rsidRPr="00F516B9" w:rsidRDefault="0060747C" w:rsidP="0060747C">
            <w:pPr>
              <w:numPr>
                <w:ilvl w:val="0"/>
                <w:numId w:val="31"/>
              </w:numPr>
              <w:spacing w:after="60"/>
              <w:rPr>
                <w:rFonts w:ascii="Helvetica-Light" w:hAnsi="Helvetica-Light"/>
                <w:sz w:val="18"/>
                <w:szCs w:val="18"/>
              </w:rPr>
            </w:pPr>
            <w:r w:rsidRPr="00F516B9">
              <w:rPr>
                <w:rFonts w:ascii="Helvetica-Light" w:hAnsi="Helvetica-Light"/>
                <w:b/>
                <w:bCs/>
                <w:sz w:val="18"/>
                <w:szCs w:val="18"/>
              </w:rPr>
              <w:t>Risk management required of members by the association and/or their firms</w:t>
            </w:r>
            <w:r w:rsidR="00F516B9">
              <w:rPr>
                <w:rFonts w:ascii="Helvetica-Light" w:hAnsi="Helvetica-Light"/>
                <w:b/>
                <w:bCs/>
                <w:sz w:val="18"/>
                <w:szCs w:val="18"/>
              </w:rPr>
              <w:t>.</w:t>
            </w:r>
            <w:r w:rsidRPr="00F516B9">
              <w:rPr>
                <w:rFonts w:ascii="Helvetica-Light" w:hAnsi="Helvetica-Light"/>
                <w:sz w:val="18"/>
                <w:szCs w:val="18"/>
              </w:rPr>
              <w:t xml:space="preserve"> </w:t>
            </w:r>
          </w:p>
          <w:p w14:paraId="16479972" w14:textId="00BB3B67" w:rsidR="0051663D" w:rsidRPr="00F516B9" w:rsidRDefault="00092A86" w:rsidP="0051663D">
            <w:pPr>
              <w:spacing w:after="60"/>
              <w:rPr>
                <w:rFonts w:ascii="Helvetica-Light" w:hAnsi="Helvetica-Light"/>
                <w:sz w:val="18"/>
                <w:szCs w:val="18"/>
              </w:rPr>
            </w:pPr>
            <w:r w:rsidRPr="00F516B9">
              <w:rPr>
                <w:rFonts w:ascii="Helvetica-Light" w:hAnsi="Helvetica-Light"/>
                <w:sz w:val="18"/>
                <w:szCs w:val="18"/>
              </w:rPr>
              <w:t xml:space="preserve">Note: </w:t>
            </w:r>
            <w:r w:rsidR="0051663D" w:rsidRPr="00F516B9">
              <w:rPr>
                <w:rFonts w:ascii="Helvetica-Light" w:hAnsi="Helvetica-Light"/>
                <w:sz w:val="18"/>
                <w:szCs w:val="18"/>
              </w:rPr>
              <w:t xml:space="preserve">Refer to the last section of the table below for an example of best practice </w:t>
            </w:r>
            <w:r w:rsidRPr="00F516B9">
              <w:rPr>
                <w:rFonts w:ascii="Helvetica-Light" w:hAnsi="Helvetica-Light"/>
                <w:sz w:val="18"/>
                <w:szCs w:val="18"/>
              </w:rPr>
              <w:t>for presenting professional risks and related treatment plans.</w:t>
            </w:r>
            <w:r w:rsidR="0051663D" w:rsidRPr="00F516B9">
              <w:rPr>
                <w:rFonts w:ascii="Helvetica-Light" w:hAnsi="Helvetica-Light"/>
                <w:sz w:val="18"/>
                <w:szCs w:val="18"/>
              </w:rPr>
              <w:t xml:space="preserve"> </w:t>
            </w:r>
          </w:p>
        </w:tc>
      </w:tr>
      <w:tr w:rsidR="006E6F6F" w:rsidRPr="00F516B9" w14:paraId="06F28E1F" w14:textId="77777777" w:rsidTr="00523174">
        <w:trPr>
          <w:cantSplit/>
          <w:trHeight w:val="269"/>
        </w:trPr>
        <w:tc>
          <w:tcPr>
            <w:tcW w:w="9085" w:type="dxa"/>
            <w:gridSpan w:val="2"/>
            <w:shd w:val="clear" w:color="auto" w:fill="000000" w:themeFill="text1"/>
          </w:tcPr>
          <w:p w14:paraId="5B05C20F" w14:textId="491E4903" w:rsidR="006E6F6F" w:rsidRPr="00F516B9" w:rsidRDefault="00350FA3" w:rsidP="00A266BE">
            <w:pPr>
              <w:pStyle w:val="ListParagraph"/>
              <w:numPr>
                <w:ilvl w:val="0"/>
                <w:numId w:val="21"/>
              </w:numPr>
              <w:rPr>
                <w:rFonts w:ascii="Helvetica-Light" w:hAnsi="Helvetica-Light"/>
                <w:b/>
                <w:bCs/>
                <w:sz w:val="20"/>
                <w:szCs w:val="20"/>
              </w:rPr>
            </w:pPr>
            <w:bookmarkStart w:id="1" w:name="_Hlk67337834"/>
            <w:bookmarkStart w:id="2" w:name="_Hlk69978177"/>
            <w:r w:rsidRPr="00F516B9">
              <w:rPr>
                <w:rFonts w:ascii="Helvetica-Light" w:hAnsi="Helvetica-Light"/>
                <w:b/>
                <w:bCs/>
                <w:sz w:val="20"/>
                <w:szCs w:val="20"/>
              </w:rPr>
              <w:t>QUESTION</w:t>
            </w:r>
            <w:r w:rsidR="00EF776F" w:rsidRPr="00F516B9">
              <w:rPr>
                <w:rFonts w:ascii="Helvetica-Light" w:hAnsi="Helvetica-Light"/>
                <w:b/>
                <w:bCs/>
                <w:sz w:val="20"/>
                <w:szCs w:val="20"/>
              </w:rPr>
              <w:t>S</w:t>
            </w:r>
            <w:r w:rsidR="006E6F6F" w:rsidRPr="00F516B9">
              <w:rPr>
                <w:rFonts w:ascii="Helvetica-Light" w:hAnsi="Helvetica-Light"/>
                <w:b/>
                <w:bCs/>
                <w:sz w:val="20"/>
                <w:szCs w:val="20"/>
              </w:rPr>
              <w:t xml:space="preserve">: </w:t>
            </w:r>
            <w:r w:rsidR="00162268" w:rsidRPr="00F516B9">
              <w:rPr>
                <w:rFonts w:ascii="Helvetica-Light" w:hAnsi="Helvetica-Light"/>
                <w:b/>
                <w:bCs/>
                <w:i/>
                <w:iCs/>
                <w:sz w:val="20"/>
                <w:szCs w:val="20"/>
              </w:rPr>
              <w:t xml:space="preserve">STRUCTURE </w:t>
            </w:r>
          </w:p>
        </w:tc>
      </w:tr>
      <w:bookmarkEnd w:id="0"/>
      <w:tr w:rsidR="006E6F6F" w:rsidRPr="00F516B9" w14:paraId="1A8747BB" w14:textId="77777777" w:rsidTr="003E2301">
        <w:trPr>
          <w:cantSplit/>
          <w:trHeight w:val="269"/>
        </w:trPr>
        <w:tc>
          <w:tcPr>
            <w:tcW w:w="4855" w:type="dxa"/>
            <w:shd w:val="clear" w:color="auto" w:fill="000000" w:themeFill="text1"/>
          </w:tcPr>
          <w:p w14:paraId="2242F87B" w14:textId="0972CD71" w:rsidR="006E6F6F" w:rsidRPr="00F516B9" w:rsidRDefault="00350FA3" w:rsidP="006E6F6F">
            <w:pPr>
              <w:rPr>
                <w:rFonts w:ascii="Helvetica-Light" w:hAnsi="Helvetica-Light"/>
                <w:b/>
                <w:bCs/>
                <w:sz w:val="18"/>
                <w:szCs w:val="18"/>
              </w:rPr>
            </w:pPr>
            <w:r w:rsidRPr="00F516B9">
              <w:rPr>
                <w:rFonts w:ascii="Helvetica-Light" w:hAnsi="Helvetica-Light"/>
                <w:b/>
                <w:bCs/>
                <w:sz w:val="18"/>
                <w:szCs w:val="18"/>
              </w:rPr>
              <w:t>Evidence</w:t>
            </w:r>
            <w:r w:rsidR="009B0445" w:rsidRPr="00F516B9">
              <w:rPr>
                <w:rFonts w:ascii="Helvetica-Light" w:hAnsi="Helvetica-Light"/>
                <w:b/>
                <w:bCs/>
                <w:sz w:val="18"/>
                <w:szCs w:val="18"/>
              </w:rPr>
              <w:t xml:space="preserve"> </w:t>
            </w:r>
            <w:r w:rsidRPr="00F516B9">
              <w:rPr>
                <w:rFonts w:ascii="Helvetica-Light" w:hAnsi="Helvetica-Light"/>
                <w:b/>
                <w:bCs/>
                <w:sz w:val="18"/>
                <w:szCs w:val="18"/>
              </w:rPr>
              <w:t>/</w:t>
            </w:r>
            <w:r w:rsidR="009B0445" w:rsidRPr="00F516B9">
              <w:rPr>
                <w:rFonts w:ascii="Helvetica-Light" w:hAnsi="Helvetica-Light"/>
                <w:b/>
                <w:bCs/>
                <w:sz w:val="18"/>
                <w:szCs w:val="18"/>
              </w:rPr>
              <w:t xml:space="preserve"> </w:t>
            </w:r>
            <w:r w:rsidRPr="00F516B9">
              <w:rPr>
                <w:rFonts w:ascii="Helvetica-Light" w:hAnsi="Helvetica-Light"/>
                <w:b/>
                <w:bCs/>
                <w:sz w:val="18"/>
                <w:szCs w:val="18"/>
              </w:rPr>
              <w:t>information required</w:t>
            </w:r>
          </w:p>
        </w:tc>
        <w:tc>
          <w:tcPr>
            <w:tcW w:w="4230" w:type="dxa"/>
            <w:shd w:val="clear" w:color="auto" w:fill="000000" w:themeFill="text1"/>
          </w:tcPr>
          <w:p w14:paraId="76684E0D" w14:textId="4B10727A" w:rsidR="006E6F6F" w:rsidRPr="00F516B9" w:rsidRDefault="006E6F6F" w:rsidP="006E6F6F">
            <w:pPr>
              <w:rPr>
                <w:rFonts w:ascii="Helvetica-Light" w:hAnsi="Helvetica-Light"/>
                <w:b/>
                <w:bCs/>
                <w:sz w:val="18"/>
                <w:szCs w:val="18"/>
              </w:rPr>
            </w:pPr>
            <w:r w:rsidRPr="00F516B9">
              <w:rPr>
                <w:rFonts w:ascii="Helvetica-Light" w:hAnsi="Helvetica-Light"/>
                <w:b/>
                <w:bCs/>
                <w:sz w:val="18"/>
                <w:szCs w:val="18"/>
              </w:rPr>
              <w:t>Association’s response</w:t>
            </w:r>
            <w:r w:rsidR="000D64DC" w:rsidRPr="00F516B9">
              <w:rPr>
                <w:rFonts w:ascii="Helvetica-Light" w:hAnsi="Helvetica-Light"/>
                <w:b/>
                <w:bCs/>
                <w:sz w:val="18"/>
                <w:szCs w:val="18"/>
              </w:rPr>
              <w:t xml:space="preserve"> (including examples)</w:t>
            </w:r>
            <w:r w:rsidRPr="00F516B9">
              <w:rPr>
                <w:rFonts w:ascii="Helvetica-Light" w:hAnsi="Helvetica-Light"/>
                <w:b/>
                <w:bCs/>
                <w:sz w:val="18"/>
                <w:szCs w:val="18"/>
              </w:rPr>
              <w:t xml:space="preserve"> </w:t>
            </w:r>
          </w:p>
        </w:tc>
      </w:tr>
      <w:bookmarkEnd w:id="1"/>
      <w:tr w:rsidR="006E6F6F" w:rsidRPr="00F516B9" w14:paraId="0484F7D4" w14:textId="77777777" w:rsidTr="00EF776F">
        <w:trPr>
          <w:trHeight w:val="2404"/>
        </w:trPr>
        <w:tc>
          <w:tcPr>
            <w:tcW w:w="4855" w:type="dxa"/>
          </w:tcPr>
          <w:p w14:paraId="28309C79" w14:textId="77777777" w:rsidR="003E2301" w:rsidRPr="00F516B9" w:rsidRDefault="003E2301" w:rsidP="003E2301">
            <w:pPr>
              <w:spacing w:after="60"/>
              <w:rPr>
                <w:rFonts w:ascii="Helvetica-Light" w:hAnsi="Helvetica-Light"/>
                <w:sz w:val="18"/>
                <w:szCs w:val="18"/>
              </w:rPr>
            </w:pPr>
            <w:r w:rsidRPr="00F516B9">
              <w:rPr>
                <w:rFonts w:ascii="Helvetica-Light" w:hAnsi="Helvetica-Light"/>
                <w:sz w:val="18"/>
                <w:szCs w:val="18"/>
              </w:rPr>
              <w:t xml:space="preserve">For </w:t>
            </w:r>
            <w:r w:rsidRPr="00F516B9">
              <w:rPr>
                <w:rFonts w:ascii="Helvetica-Light" w:hAnsi="Helvetica-Light"/>
                <w:b/>
                <w:bCs/>
                <w:sz w:val="18"/>
                <w:szCs w:val="18"/>
              </w:rPr>
              <w:t>each</w:t>
            </w:r>
            <w:r w:rsidRPr="00F516B9">
              <w:rPr>
                <w:rFonts w:ascii="Helvetica-Light" w:hAnsi="Helvetica-Light"/>
                <w:sz w:val="18"/>
                <w:szCs w:val="18"/>
              </w:rPr>
              <w:t xml:space="preserve"> of the professional risk management strategies identified in the overview above:</w:t>
            </w:r>
          </w:p>
          <w:p w14:paraId="46EFB708" w14:textId="77777777" w:rsidR="00EF776F" w:rsidRPr="00F516B9" w:rsidRDefault="003E2301" w:rsidP="00EF776F">
            <w:pPr>
              <w:pStyle w:val="ListParagraph"/>
              <w:numPr>
                <w:ilvl w:val="0"/>
                <w:numId w:val="33"/>
              </w:numPr>
              <w:spacing w:after="60"/>
              <w:contextualSpacing w:val="0"/>
              <w:rPr>
                <w:rFonts w:ascii="Helvetica-Light" w:hAnsi="Helvetica-Light"/>
                <w:b/>
                <w:bCs/>
                <w:sz w:val="18"/>
                <w:szCs w:val="18"/>
              </w:rPr>
            </w:pPr>
            <w:r w:rsidRPr="00F516B9">
              <w:rPr>
                <w:rFonts w:ascii="Helvetica-Light" w:hAnsi="Helvetica-Light"/>
                <w:sz w:val="18"/>
                <w:szCs w:val="18"/>
              </w:rPr>
              <w:t xml:space="preserve">provide and explain your association’s current, or proposed, professional risk management strategies by providing materials or documents such as: </w:t>
            </w:r>
          </w:p>
          <w:p w14:paraId="08E194BD" w14:textId="77777777" w:rsidR="00EF77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the relevant constitution elements</w:t>
            </w:r>
          </w:p>
          <w:p w14:paraId="02D0ED47" w14:textId="77777777" w:rsidR="00EF77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approved policy, procedures, processes</w:t>
            </w:r>
          </w:p>
          <w:p w14:paraId="53B696EC" w14:textId="77777777" w:rsidR="00EF77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forms, templates, internal or external standards</w:t>
            </w:r>
          </w:p>
          <w:p w14:paraId="0584AAE3" w14:textId="77777777" w:rsidR="00EF77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oversight by executive bodies or committees and their terms of reference</w:t>
            </w:r>
          </w:p>
          <w:p w14:paraId="0D0F7ADC" w14:textId="45AA4ED1" w:rsidR="00EF77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 xml:space="preserve">standing communication to members  </w:t>
            </w:r>
          </w:p>
          <w:p w14:paraId="52D77FEA" w14:textId="0A9EE6F8" w:rsidR="006E6F6F" w:rsidRPr="00F516B9" w:rsidRDefault="003E2301" w:rsidP="00EF776F">
            <w:pPr>
              <w:pStyle w:val="ListParagraph"/>
              <w:numPr>
                <w:ilvl w:val="1"/>
                <w:numId w:val="33"/>
              </w:numPr>
              <w:spacing w:after="60"/>
              <w:ind w:left="610" w:hanging="270"/>
              <w:contextualSpacing w:val="0"/>
              <w:rPr>
                <w:rFonts w:ascii="Helvetica-Light" w:hAnsi="Helvetica-Light"/>
                <w:b/>
                <w:bCs/>
                <w:sz w:val="18"/>
                <w:szCs w:val="18"/>
              </w:rPr>
            </w:pPr>
            <w:r w:rsidRPr="00F516B9">
              <w:rPr>
                <w:rFonts w:ascii="Helvetica-Light" w:hAnsi="Helvetica-Light"/>
                <w:sz w:val="18"/>
                <w:szCs w:val="18"/>
              </w:rPr>
              <w:t xml:space="preserve">relevant website content.  </w:t>
            </w:r>
          </w:p>
        </w:tc>
        <w:tc>
          <w:tcPr>
            <w:tcW w:w="4230" w:type="dxa"/>
          </w:tcPr>
          <w:p w14:paraId="047B2D49" w14:textId="5CBFD848" w:rsidR="006E6F6F" w:rsidRPr="00F516B9" w:rsidRDefault="006E6F6F" w:rsidP="006E6F6F">
            <w:pPr>
              <w:rPr>
                <w:rFonts w:ascii="Helvetica-Light" w:hAnsi="Helvetica-Light"/>
                <w:sz w:val="18"/>
                <w:szCs w:val="18"/>
              </w:rPr>
            </w:pPr>
          </w:p>
        </w:tc>
      </w:tr>
      <w:tr w:rsidR="00EF776F" w:rsidRPr="00F516B9" w14:paraId="231A0CD9" w14:textId="77777777" w:rsidTr="00C84627">
        <w:trPr>
          <w:trHeight w:val="171"/>
        </w:trPr>
        <w:tc>
          <w:tcPr>
            <w:tcW w:w="9085" w:type="dxa"/>
            <w:gridSpan w:val="2"/>
            <w:shd w:val="clear" w:color="auto" w:fill="000000" w:themeFill="text1"/>
          </w:tcPr>
          <w:p w14:paraId="448450BC" w14:textId="285B1416" w:rsidR="00EF776F" w:rsidRPr="00F516B9" w:rsidRDefault="00EF776F" w:rsidP="00C84627">
            <w:pPr>
              <w:pStyle w:val="ListParagraph"/>
              <w:numPr>
                <w:ilvl w:val="0"/>
                <w:numId w:val="21"/>
              </w:numPr>
              <w:rPr>
                <w:rFonts w:ascii="Helvetica-Light" w:hAnsi="Helvetica-Light"/>
                <w:b/>
                <w:bCs/>
                <w:sz w:val="20"/>
                <w:szCs w:val="20"/>
              </w:rPr>
            </w:pPr>
            <w:r w:rsidRPr="00F516B9">
              <w:rPr>
                <w:rFonts w:ascii="Helvetica-Light" w:hAnsi="Helvetica-Light"/>
                <w:b/>
                <w:bCs/>
                <w:sz w:val="20"/>
                <w:szCs w:val="20"/>
              </w:rPr>
              <w:t xml:space="preserve">QUESTIONS:  </w:t>
            </w:r>
            <w:r w:rsidRPr="00F516B9">
              <w:rPr>
                <w:rFonts w:ascii="Helvetica-Light" w:hAnsi="Helvetica-Light"/>
                <w:b/>
                <w:bCs/>
                <w:i/>
                <w:iCs/>
                <w:sz w:val="20"/>
                <w:szCs w:val="20"/>
              </w:rPr>
              <w:t>IMPLEMENTATION &amp; OTHER STATUTORY/REGULATORY REQUIREMENTS</w:t>
            </w:r>
          </w:p>
        </w:tc>
      </w:tr>
      <w:tr w:rsidR="00EF776F" w:rsidRPr="00F516B9" w14:paraId="2F802485" w14:textId="77777777" w:rsidTr="00C84627">
        <w:trPr>
          <w:trHeight w:val="540"/>
        </w:trPr>
        <w:tc>
          <w:tcPr>
            <w:tcW w:w="4855" w:type="dxa"/>
          </w:tcPr>
          <w:p w14:paraId="63EA83D1" w14:textId="77777777" w:rsidR="00EF776F" w:rsidRPr="00F516B9" w:rsidRDefault="00EF776F" w:rsidP="00EF776F">
            <w:pPr>
              <w:pStyle w:val="ListParagraph"/>
              <w:numPr>
                <w:ilvl w:val="0"/>
                <w:numId w:val="39"/>
              </w:numPr>
              <w:spacing w:after="60"/>
              <w:contextualSpacing w:val="0"/>
              <w:rPr>
                <w:rFonts w:ascii="Helvetica-Light" w:hAnsi="Helvetica-Light"/>
                <w:sz w:val="18"/>
                <w:szCs w:val="18"/>
              </w:rPr>
            </w:pPr>
            <w:r w:rsidRPr="00F516B9">
              <w:rPr>
                <w:rFonts w:ascii="Helvetica-Light" w:hAnsi="Helvetica-Light"/>
                <w:sz w:val="18"/>
                <w:szCs w:val="18"/>
              </w:rPr>
              <w:t xml:space="preserve">Where a professional risk management strategy is proposed, or being amended, discuss how your association will implement the professional risk management strategy, including the association’s resources (e.g. staff, financial, IT), and implementation timetable. </w:t>
            </w:r>
          </w:p>
          <w:p w14:paraId="70A97AE9" w14:textId="481C4DC0" w:rsidR="00EF776F" w:rsidRPr="00F516B9" w:rsidRDefault="00EF776F" w:rsidP="00E96139">
            <w:pPr>
              <w:pStyle w:val="ListParagraph"/>
              <w:numPr>
                <w:ilvl w:val="0"/>
                <w:numId w:val="39"/>
              </w:numPr>
              <w:spacing w:after="60"/>
              <w:contextualSpacing w:val="0"/>
              <w:rPr>
                <w:rFonts w:ascii="Helvetica-Light" w:hAnsi="Helvetica-Light"/>
                <w:b/>
                <w:bCs/>
                <w:sz w:val="18"/>
                <w:szCs w:val="18"/>
              </w:rPr>
            </w:pPr>
            <w:r w:rsidRPr="00F516B9">
              <w:rPr>
                <w:rFonts w:ascii="Helvetica-Light" w:hAnsi="Helvetica-Light"/>
                <w:sz w:val="18"/>
                <w:szCs w:val="18"/>
              </w:rPr>
              <w:t>Where your association or members are subject to a statutory or regulatory requirement for all or part of a professional risk management system strategies, provide the Councils with references to the relevant statutory provisions, regulator, and explain the interaction between the association as a professional standards co-regulator and the statutory regulator (examples include scheduled meetings or consultation, membership of panels or committees).</w:t>
            </w:r>
          </w:p>
        </w:tc>
        <w:tc>
          <w:tcPr>
            <w:tcW w:w="4230" w:type="dxa"/>
          </w:tcPr>
          <w:p w14:paraId="30DD2924" w14:textId="77777777" w:rsidR="00EF776F" w:rsidRPr="00F516B9" w:rsidRDefault="00EF776F" w:rsidP="00C84627">
            <w:pPr>
              <w:rPr>
                <w:rFonts w:ascii="Helvetica-Light" w:hAnsi="Helvetica-Light"/>
                <w:sz w:val="18"/>
                <w:szCs w:val="18"/>
              </w:rPr>
            </w:pPr>
          </w:p>
        </w:tc>
      </w:tr>
      <w:tr w:rsidR="00162268" w:rsidRPr="00F516B9" w14:paraId="02553404" w14:textId="77777777" w:rsidTr="00195541">
        <w:trPr>
          <w:trHeight w:val="171"/>
        </w:trPr>
        <w:tc>
          <w:tcPr>
            <w:tcW w:w="9085" w:type="dxa"/>
            <w:gridSpan w:val="2"/>
            <w:shd w:val="clear" w:color="auto" w:fill="000000" w:themeFill="text1"/>
          </w:tcPr>
          <w:p w14:paraId="175DBE2B" w14:textId="194A0049" w:rsidR="00162268" w:rsidRPr="00F516B9" w:rsidRDefault="00195541" w:rsidP="00195541">
            <w:pPr>
              <w:pStyle w:val="ListParagraph"/>
              <w:numPr>
                <w:ilvl w:val="0"/>
                <w:numId w:val="21"/>
              </w:numPr>
              <w:rPr>
                <w:rFonts w:ascii="Helvetica-Light" w:hAnsi="Helvetica-Light"/>
                <w:b/>
                <w:bCs/>
                <w:sz w:val="20"/>
                <w:szCs w:val="20"/>
              </w:rPr>
            </w:pPr>
            <w:bookmarkStart w:id="3" w:name="_Hlk69980030"/>
            <w:bookmarkEnd w:id="2"/>
            <w:r w:rsidRPr="00F516B9">
              <w:rPr>
                <w:rFonts w:ascii="Helvetica-Light" w:hAnsi="Helvetica-Light"/>
                <w:b/>
                <w:bCs/>
                <w:sz w:val="20"/>
                <w:szCs w:val="20"/>
              </w:rPr>
              <w:t>QUESTION</w:t>
            </w:r>
            <w:r w:rsidR="00EF776F" w:rsidRPr="00F516B9">
              <w:rPr>
                <w:rFonts w:ascii="Helvetica-Light" w:hAnsi="Helvetica-Light"/>
                <w:b/>
                <w:bCs/>
                <w:sz w:val="20"/>
                <w:szCs w:val="20"/>
              </w:rPr>
              <w:t>S</w:t>
            </w:r>
            <w:r w:rsidRPr="00F516B9">
              <w:rPr>
                <w:rFonts w:ascii="Helvetica-Light" w:hAnsi="Helvetica-Light"/>
                <w:b/>
                <w:bCs/>
                <w:sz w:val="20"/>
                <w:szCs w:val="20"/>
              </w:rPr>
              <w:t xml:space="preserve">:  </w:t>
            </w:r>
            <w:r w:rsidR="00EF776F" w:rsidRPr="00F516B9">
              <w:rPr>
                <w:rFonts w:ascii="Helvetica-Light" w:hAnsi="Helvetica-Light"/>
                <w:b/>
                <w:bCs/>
                <w:i/>
                <w:iCs/>
                <w:sz w:val="20"/>
                <w:szCs w:val="20"/>
              </w:rPr>
              <w:t>IMPROVEMENTS</w:t>
            </w:r>
            <w:r w:rsidR="005D2280" w:rsidRPr="00F516B9">
              <w:rPr>
                <w:rFonts w:ascii="Helvetica-Light" w:hAnsi="Helvetica-Light"/>
                <w:b/>
                <w:bCs/>
                <w:i/>
                <w:iCs/>
                <w:sz w:val="20"/>
                <w:szCs w:val="20"/>
              </w:rPr>
              <w:t xml:space="preserve"> &amp; CONSUMER PROTECTION OUTCOMES</w:t>
            </w:r>
          </w:p>
        </w:tc>
      </w:tr>
      <w:tr w:rsidR="006E6F6F" w:rsidRPr="00F516B9" w14:paraId="62E61F00" w14:textId="77777777" w:rsidTr="003E2301">
        <w:trPr>
          <w:trHeight w:val="540"/>
        </w:trPr>
        <w:tc>
          <w:tcPr>
            <w:tcW w:w="4855" w:type="dxa"/>
          </w:tcPr>
          <w:p w14:paraId="7C243D3B" w14:textId="433245F0" w:rsidR="006E6F6F" w:rsidRPr="00F516B9" w:rsidRDefault="003E2301" w:rsidP="00E96139">
            <w:pPr>
              <w:pStyle w:val="ListParagraph"/>
              <w:numPr>
                <w:ilvl w:val="0"/>
                <w:numId w:val="41"/>
              </w:numPr>
              <w:spacing w:after="60"/>
              <w:contextualSpacing w:val="0"/>
              <w:rPr>
                <w:rFonts w:ascii="Helvetica-Light" w:hAnsi="Helvetica-Light"/>
                <w:b/>
                <w:bCs/>
                <w:sz w:val="18"/>
                <w:szCs w:val="18"/>
              </w:rPr>
            </w:pPr>
            <w:r w:rsidRPr="00F516B9">
              <w:rPr>
                <w:rFonts w:ascii="Helvetica-Light" w:hAnsi="Helvetica-Light"/>
                <w:sz w:val="18"/>
                <w:szCs w:val="18"/>
              </w:rPr>
              <w:t xml:space="preserve">Describe your association’s detailed plans to improve each of the listed professional risk management strategies as well as the strategies to address consumer harms and risks. </w:t>
            </w:r>
          </w:p>
        </w:tc>
        <w:tc>
          <w:tcPr>
            <w:tcW w:w="4230" w:type="dxa"/>
          </w:tcPr>
          <w:p w14:paraId="143C2863" w14:textId="509B4754" w:rsidR="006E6F6F" w:rsidRPr="00F516B9" w:rsidRDefault="006E6F6F" w:rsidP="006E6F6F">
            <w:pPr>
              <w:rPr>
                <w:rFonts w:ascii="Helvetica-Light" w:hAnsi="Helvetica-Light"/>
                <w:sz w:val="18"/>
                <w:szCs w:val="18"/>
              </w:rPr>
            </w:pPr>
          </w:p>
        </w:tc>
      </w:tr>
      <w:bookmarkEnd w:id="3"/>
    </w:tbl>
    <w:p w14:paraId="7A7BFD28" w14:textId="77777777" w:rsidR="00E96139" w:rsidRPr="003E2301" w:rsidRDefault="00E96139">
      <w:pPr>
        <w:rPr>
          <w:sz w:val="8"/>
          <w:szCs w:val="8"/>
        </w:rPr>
      </w:pPr>
    </w:p>
    <w:tbl>
      <w:tblPr>
        <w:tblStyle w:val="TableGrid"/>
        <w:tblpPr w:leftFromText="180" w:rightFromText="180" w:vertAnchor="text" w:tblpY="1"/>
        <w:tblOverlap w:val="never"/>
        <w:tblW w:w="9085" w:type="dxa"/>
        <w:tblLook w:val="04A0" w:firstRow="1" w:lastRow="0" w:firstColumn="1" w:lastColumn="0" w:noHBand="0" w:noVBand="1"/>
      </w:tblPr>
      <w:tblGrid>
        <w:gridCol w:w="4945"/>
        <w:gridCol w:w="4140"/>
      </w:tblGrid>
      <w:tr w:rsidR="009B0445" w:rsidRPr="00247A21" w14:paraId="6AA35EC9" w14:textId="77777777" w:rsidTr="00523174">
        <w:trPr>
          <w:cantSplit/>
          <w:trHeight w:val="269"/>
        </w:trPr>
        <w:tc>
          <w:tcPr>
            <w:tcW w:w="9085" w:type="dxa"/>
            <w:gridSpan w:val="2"/>
            <w:shd w:val="clear" w:color="auto" w:fill="000000" w:themeFill="text1"/>
          </w:tcPr>
          <w:p w14:paraId="57FB9C2D" w14:textId="299299C1" w:rsidR="009B0445" w:rsidRPr="00A266BE" w:rsidRDefault="009B0445" w:rsidP="00E96139">
            <w:pPr>
              <w:pStyle w:val="ListParagraph"/>
              <w:numPr>
                <w:ilvl w:val="0"/>
                <w:numId w:val="40"/>
              </w:numPr>
              <w:rPr>
                <w:rFonts w:ascii="Helvetica-Light" w:hAnsi="Helvetica-Light"/>
                <w:b/>
                <w:bCs/>
                <w:sz w:val="20"/>
                <w:szCs w:val="20"/>
              </w:rPr>
            </w:pPr>
            <w:bookmarkStart w:id="4" w:name="_Hlk69552354"/>
            <w:r w:rsidRPr="00A266BE">
              <w:rPr>
                <w:rFonts w:ascii="Helvetica-Light" w:hAnsi="Helvetica-Light"/>
                <w:b/>
                <w:bCs/>
                <w:sz w:val="20"/>
                <w:szCs w:val="20"/>
              </w:rPr>
              <w:t>QUESTION</w:t>
            </w:r>
            <w:r w:rsidR="00092A86">
              <w:rPr>
                <w:rFonts w:ascii="Helvetica-Light" w:hAnsi="Helvetica-Light"/>
                <w:b/>
                <w:bCs/>
                <w:sz w:val="20"/>
                <w:szCs w:val="20"/>
              </w:rPr>
              <w:t>S</w:t>
            </w:r>
            <w:r w:rsidRPr="00A266BE">
              <w:rPr>
                <w:rFonts w:ascii="Helvetica-Light" w:hAnsi="Helvetica-Light"/>
                <w:b/>
                <w:bCs/>
                <w:sz w:val="20"/>
                <w:szCs w:val="20"/>
              </w:rPr>
              <w:t xml:space="preserve">: </w:t>
            </w:r>
            <w:r w:rsidRPr="00247A21">
              <w:rPr>
                <w:rFonts w:ascii="Helvetica-Light" w:hAnsi="Helvetica-Light"/>
              </w:rPr>
              <w:t xml:space="preserve"> </w:t>
            </w:r>
            <w:r w:rsidR="003E2301">
              <w:rPr>
                <w:rFonts w:ascii="Helvetica-Light" w:hAnsi="Helvetica-Light"/>
                <w:b/>
                <w:bCs/>
                <w:i/>
                <w:iCs/>
                <w:sz w:val="20"/>
                <w:szCs w:val="20"/>
              </w:rPr>
              <w:t>IMPROVEMENT</w:t>
            </w:r>
            <w:bookmarkEnd w:id="4"/>
            <w:r w:rsidR="003E2301">
              <w:rPr>
                <w:rFonts w:ascii="Helvetica-Light" w:hAnsi="Helvetica-Light"/>
                <w:b/>
                <w:bCs/>
                <w:i/>
                <w:iCs/>
                <w:sz w:val="20"/>
                <w:szCs w:val="20"/>
              </w:rPr>
              <w:t>S</w:t>
            </w:r>
            <w:r w:rsidR="00E96139">
              <w:rPr>
                <w:rFonts w:ascii="Helvetica-Light" w:hAnsi="Helvetica-Light"/>
                <w:b/>
                <w:bCs/>
                <w:i/>
                <w:iCs/>
                <w:sz w:val="20"/>
                <w:szCs w:val="20"/>
              </w:rPr>
              <w:t xml:space="preserve"> </w:t>
            </w:r>
            <w:r w:rsidR="005D2280">
              <w:rPr>
                <w:rFonts w:ascii="Helvetica-Light" w:hAnsi="Helvetica-Light"/>
                <w:b/>
                <w:bCs/>
                <w:i/>
                <w:iCs/>
                <w:sz w:val="20"/>
                <w:szCs w:val="20"/>
              </w:rPr>
              <w:t xml:space="preserve">&amp; CONSUMER PROTECTION OUTCOMES </w:t>
            </w:r>
            <w:r w:rsidR="00E96139">
              <w:rPr>
                <w:rFonts w:ascii="Helvetica-Light" w:hAnsi="Helvetica-Light"/>
                <w:b/>
                <w:bCs/>
                <w:i/>
                <w:iCs/>
                <w:sz w:val="20"/>
                <w:szCs w:val="20"/>
              </w:rPr>
              <w:t>(</w:t>
            </w:r>
            <w:r w:rsidR="00E96139" w:rsidRPr="00247A21">
              <w:rPr>
                <w:rFonts w:ascii="Helvetica-Light" w:hAnsi="Helvetica-Light"/>
                <w:b/>
                <w:bCs/>
                <w:i/>
                <w:iCs/>
                <w:sz w:val="20"/>
                <w:szCs w:val="20"/>
              </w:rPr>
              <w:t>con</w:t>
            </w:r>
            <w:r w:rsidR="00247A21">
              <w:rPr>
                <w:rFonts w:ascii="Helvetica-Light" w:hAnsi="Helvetica-Light"/>
                <w:b/>
                <w:bCs/>
                <w:i/>
                <w:iCs/>
                <w:sz w:val="20"/>
                <w:szCs w:val="20"/>
              </w:rPr>
              <w:t>t.</w:t>
            </w:r>
            <w:r w:rsidR="00E96139" w:rsidRPr="00247A21">
              <w:rPr>
                <w:rFonts w:ascii="Helvetica-Light" w:hAnsi="Helvetica-Light"/>
                <w:b/>
                <w:bCs/>
                <w:i/>
                <w:iCs/>
                <w:sz w:val="20"/>
                <w:szCs w:val="20"/>
              </w:rPr>
              <w:t>)</w:t>
            </w:r>
          </w:p>
        </w:tc>
      </w:tr>
      <w:tr w:rsidR="003E2301" w:rsidRPr="00247A21" w14:paraId="3CF7A7EA" w14:textId="77777777" w:rsidTr="00092A86">
        <w:trPr>
          <w:cantSplit/>
          <w:trHeight w:val="269"/>
        </w:trPr>
        <w:tc>
          <w:tcPr>
            <w:tcW w:w="4945" w:type="dxa"/>
            <w:shd w:val="clear" w:color="auto" w:fill="000000" w:themeFill="text1"/>
          </w:tcPr>
          <w:p w14:paraId="6A108251" w14:textId="3E18FA93" w:rsidR="003E2301" w:rsidRPr="003E2301" w:rsidRDefault="003E2301" w:rsidP="003E2301">
            <w:pPr>
              <w:rPr>
                <w:rFonts w:ascii="Helvetica-Light" w:hAnsi="Helvetica-Light"/>
                <w:b/>
                <w:bCs/>
                <w:sz w:val="20"/>
                <w:szCs w:val="20"/>
              </w:rPr>
            </w:pPr>
            <w:r w:rsidRPr="009B0445">
              <w:rPr>
                <w:rFonts w:ascii="Helvetica-Light" w:hAnsi="Helvetica-Light"/>
                <w:b/>
                <w:bCs/>
                <w:sz w:val="18"/>
                <w:szCs w:val="18"/>
              </w:rPr>
              <w:t>Evidence</w:t>
            </w:r>
            <w:r>
              <w:rPr>
                <w:rFonts w:ascii="Helvetica-Light" w:hAnsi="Helvetica-Light"/>
                <w:b/>
                <w:bCs/>
                <w:sz w:val="18"/>
                <w:szCs w:val="18"/>
              </w:rPr>
              <w:t xml:space="preserve"> </w:t>
            </w:r>
            <w:r w:rsidRPr="009B0445">
              <w:rPr>
                <w:rFonts w:ascii="Helvetica-Light" w:hAnsi="Helvetica-Light"/>
                <w:b/>
                <w:bCs/>
                <w:sz w:val="18"/>
                <w:szCs w:val="18"/>
              </w:rPr>
              <w:t>/</w:t>
            </w:r>
            <w:r>
              <w:rPr>
                <w:rFonts w:ascii="Helvetica-Light" w:hAnsi="Helvetica-Light"/>
                <w:b/>
                <w:bCs/>
                <w:sz w:val="18"/>
                <w:szCs w:val="18"/>
              </w:rPr>
              <w:t xml:space="preserve"> </w:t>
            </w:r>
            <w:r w:rsidRPr="009B0445">
              <w:rPr>
                <w:rFonts w:ascii="Helvetica-Light" w:hAnsi="Helvetica-Light"/>
                <w:b/>
                <w:bCs/>
                <w:sz w:val="18"/>
                <w:szCs w:val="18"/>
              </w:rPr>
              <w:t>information required</w:t>
            </w:r>
          </w:p>
        </w:tc>
        <w:tc>
          <w:tcPr>
            <w:tcW w:w="4140" w:type="dxa"/>
            <w:shd w:val="clear" w:color="auto" w:fill="000000" w:themeFill="text1"/>
          </w:tcPr>
          <w:p w14:paraId="598ACD6D" w14:textId="5F51AA06" w:rsidR="003E2301" w:rsidRPr="003E2301" w:rsidRDefault="003E2301" w:rsidP="003E2301">
            <w:pPr>
              <w:rPr>
                <w:rFonts w:ascii="Helvetica-Light" w:hAnsi="Helvetica-Light"/>
                <w:b/>
                <w:bCs/>
                <w:sz w:val="20"/>
                <w:szCs w:val="20"/>
              </w:rPr>
            </w:pPr>
            <w:r w:rsidRPr="009B0445">
              <w:rPr>
                <w:rFonts w:ascii="Helvetica-Light" w:hAnsi="Helvetica-Light"/>
                <w:b/>
                <w:bCs/>
                <w:sz w:val="18"/>
                <w:szCs w:val="18"/>
              </w:rPr>
              <w:t xml:space="preserve">Association’s response (including examples) </w:t>
            </w:r>
          </w:p>
        </w:tc>
      </w:tr>
      <w:tr w:rsidR="006E6F6F" w:rsidRPr="00247A21" w14:paraId="63D7683C" w14:textId="77777777" w:rsidTr="00092A86">
        <w:trPr>
          <w:trHeight w:val="607"/>
        </w:trPr>
        <w:tc>
          <w:tcPr>
            <w:tcW w:w="4945" w:type="dxa"/>
          </w:tcPr>
          <w:p w14:paraId="4E7FCEA8" w14:textId="18AC6D57" w:rsidR="00E96139" w:rsidRPr="00247A21" w:rsidRDefault="00E96139" w:rsidP="00E96139">
            <w:pPr>
              <w:pStyle w:val="ListParagraph"/>
              <w:numPr>
                <w:ilvl w:val="0"/>
                <w:numId w:val="38"/>
              </w:numPr>
              <w:spacing w:after="60"/>
              <w:contextualSpacing w:val="0"/>
              <w:rPr>
                <w:rFonts w:ascii="Helvetica-Light" w:hAnsi="Helvetica-Light"/>
                <w:sz w:val="18"/>
                <w:szCs w:val="18"/>
              </w:rPr>
            </w:pPr>
            <w:r w:rsidRPr="00247A21">
              <w:rPr>
                <w:rFonts w:ascii="Helvetica-Light" w:hAnsi="Helvetica-Light"/>
                <w:sz w:val="18"/>
                <w:szCs w:val="18"/>
              </w:rPr>
              <w:t xml:space="preserve">Describe the role and responsibilities of your association’s executive and governing body in assessing the effectiveness of each of the listed professional risk management strategies, within a framework of continuous improvement and consumer protection. A key question is how does your governing body go about seeking relevant independent expert advice to support its decision-making?  </w:t>
            </w:r>
          </w:p>
          <w:p w14:paraId="55E6AB3F" w14:textId="4146A6F5" w:rsidR="003E2301" w:rsidRPr="00247A21" w:rsidRDefault="003E2301" w:rsidP="003E2301">
            <w:pPr>
              <w:pStyle w:val="ListParagraph"/>
              <w:numPr>
                <w:ilvl w:val="0"/>
                <w:numId w:val="38"/>
              </w:numPr>
              <w:spacing w:after="60"/>
              <w:contextualSpacing w:val="0"/>
              <w:rPr>
                <w:rFonts w:ascii="Helvetica-Light" w:hAnsi="Helvetica-Light"/>
                <w:sz w:val="18"/>
                <w:szCs w:val="18"/>
              </w:rPr>
            </w:pPr>
            <w:r w:rsidRPr="00247A21">
              <w:rPr>
                <w:rFonts w:ascii="Helvetica-Light" w:hAnsi="Helvetica-Light"/>
                <w:sz w:val="18"/>
                <w:szCs w:val="18"/>
              </w:rPr>
              <w:t xml:space="preserve">Describe the ways your professional risk management requirements are communicated to your members, and how you assess and improve the communication of professional risk management.   </w:t>
            </w:r>
          </w:p>
          <w:p w14:paraId="0D448634" w14:textId="77777777" w:rsidR="003E2301" w:rsidRPr="00247A21" w:rsidRDefault="003E2301" w:rsidP="003E2301">
            <w:pPr>
              <w:pStyle w:val="ListParagraph"/>
              <w:numPr>
                <w:ilvl w:val="0"/>
                <w:numId w:val="38"/>
              </w:numPr>
              <w:spacing w:after="60"/>
              <w:contextualSpacing w:val="0"/>
              <w:rPr>
                <w:rFonts w:ascii="Helvetica-Light" w:hAnsi="Helvetica-Light"/>
                <w:sz w:val="18"/>
                <w:szCs w:val="18"/>
              </w:rPr>
            </w:pPr>
            <w:r w:rsidRPr="00247A21">
              <w:rPr>
                <w:rFonts w:ascii="Helvetica-Light" w:hAnsi="Helvetica-Light"/>
                <w:sz w:val="18"/>
                <w:szCs w:val="18"/>
              </w:rPr>
              <w:t>Describe what measures you use to assess the effectiveness of your risk management strategies and their frequencies (e.g. qualitative metrics such as measures of satisfaction, or quantitative such as actual numbers or dollar amounts), and how the measures contribute to continuous improvement of the professional risk management strategies, and further protecting consumers of the services provided by your members.</w:t>
            </w:r>
          </w:p>
          <w:p w14:paraId="18DD251A" w14:textId="2DE6D49A" w:rsidR="003E2301" w:rsidRPr="00247A21" w:rsidRDefault="003E2301" w:rsidP="003E2301">
            <w:pPr>
              <w:pStyle w:val="ListParagraph"/>
              <w:numPr>
                <w:ilvl w:val="0"/>
                <w:numId w:val="38"/>
              </w:numPr>
              <w:spacing w:after="60"/>
              <w:contextualSpacing w:val="0"/>
              <w:rPr>
                <w:rFonts w:ascii="Helvetica-Light" w:hAnsi="Helvetica-Light"/>
                <w:sz w:val="18"/>
                <w:szCs w:val="18"/>
              </w:rPr>
            </w:pPr>
            <w:r w:rsidRPr="00247A21">
              <w:rPr>
                <w:rFonts w:ascii="Helvetica-Light" w:hAnsi="Helvetica-Light"/>
                <w:sz w:val="18"/>
                <w:szCs w:val="18"/>
              </w:rPr>
              <w:t>Describe your association’s professional risk management system improvement cycle</w:t>
            </w:r>
            <w:r w:rsidR="003E461F" w:rsidRPr="00247A21">
              <w:rPr>
                <w:rFonts w:ascii="Helvetica-Light" w:hAnsi="Helvetica-Light"/>
                <w:sz w:val="18"/>
                <w:szCs w:val="18"/>
              </w:rPr>
              <w:t xml:space="preserve"> </w:t>
            </w:r>
            <w:proofErr w:type="spellStart"/>
            <w:r w:rsidR="003E461F" w:rsidRPr="00247A21">
              <w:rPr>
                <w:rFonts w:ascii="Helvetica-Light" w:hAnsi="Helvetica-Light"/>
                <w:sz w:val="18"/>
                <w:szCs w:val="18"/>
              </w:rPr>
              <w:t>e.g</w:t>
            </w:r>
            <w:proofErr w:type="spellEnd"/>
            <w:r w:rsidRPr="00247A21">
              <w:rPr>
                <w:rFonts w:ascii="Helvetica-Light" w:hAnsi="Helvetica-Light"/>
                <w:sz w:val="18"/>
                <w:szCs w:val="18"/>
              </w:rPr>
              <w:t xml:space="preserve">: </w:t>
            </w:r>
          </w:p>
          <w:p w14:paraId="76E5105D" w14:textId="77777777" w:rsidR="003E2301" w:rsidRPr="00247A21" w:rsidRDefault="003E2301" w:rsidP="003E2301">
            <w:pPr>
              <w:numPr>
                <w:ilvl w:val="0"/>
                <w:numId w:val="37"/>
              </w:numPr>
              <w:spacing w:after="60"/>
              <w:rPr>
                <w:rFonts w:ascii="Helvetica-Light" w:hAnsi="Helvetica-Light"/>
                <w:sz w:val="18"/>
                <w:szCs w:val="18"/>
              </w:rPr>
            </w:pPr>
            <w:r w:rsidRPr="00247A21">
              <w:rPr>
                <w:rFonts w:ascii="Helvetica-Light" w:hAnsi="Helvetica-Light"/>
                <w:sz w:val="18"/>
                <w:szCs w:val="18"/>
              </w:rPr>
              <w:t>how emerging trends from the outcomes of conduct and competence processes (including but not limited to consumer claims, notification, and complaints data) are used to inform revisions of the professional risk management system</w:t>
            </w:r>
          </w:p>
          <w:p w14:paraId="4CB1A949" w14:textId="77777777" w:rsidR="003E2301" w:rsidRPr="00247A21" w:rsidRDefault="003E2301" w:rsidP="003E2301">
            <w:pPr>
              <w:numPr>
                <w:ilvl w:val="0"/>
                <w:numId w:val="37"/>
              </w:numPr>
              <w:spacing w:after="60"/>
              <w:rPr>
                <w:rFonts w:ascii="Helvetica-Light" w:hAnsi="Helvetica-Light"/>
                <w:sz w:val="18"/>
                <w:szCs w:val="18"/>
              </w:rPr>
            </w:pPr>
            <w:r w:rsidRPr="00247A21">
              <w:rPr>
                <w:rFonts w:ascii="Helvetica-Light" w:hAnsi="Helvetica-Light"/>
                <w:sz w:val="18"/>
                <w:szCs w:val="18"/>
              </w:rPr>
              <w:t>how your association identifies and incorporates best practice</w:t>
            </w:r>
          </w:p>
          <w:p w14:paraId="56B825C4" w14:textId="77777777" w:rsidR="003E2301" w:rsidRPr="00247A21" w:rsidRDefault="003E2301" w:rsidP="003E2301">
            <w:pPr>
              <w:numPr>
                <w:ilvl w:val="0"/>
                <w:numId w:val="37"/>
              </w:numPr>
              <w:spacing w:after="60"/>
              <w:rPr>
                <w:rFonts w:ascii="Helvetica-Light" w:hAnsi="Helvetica-Light"/>
                <w:sz w:val="18"/>
                <w:szCs w:val="18"/>
              </w:rPr>
            </w:pPr>
            <w:r w:rsidRPr="00247A21">
              <w:rPr>
                <w:rFonts w:ascii="Helvetica-Light" w:hAnsi="Helvetica-Light"/>
                <w:sz w:val="18"/>
                <w:szCs w:val="18"/>
              </w:rPr>
              <w:t>how the purpose for, and benefits of, the improvement are identified and confirmed</w:t>
            </w:r>
          </w:p>
          <w:p w14:paraId="718DBEA5" w14:textId="77777777" w:rsidR="003E2301" w:rsidRPr="00247A21" w:rsidRDefault="003E2301" w:rsidP="003E2301">
            <w:pPr>
              <w:numPr>
                <w:ilvl w:val="0"/>
                <w:numId w:val="37"/>
              </w:numPr>
              <w:spacing w:after="60"/>
              <w:rPr>
                <w:rFonts w:ascii="Helvetica-Light" w:hAnsi="Helvetica-Light"/>
                <w:sz w:val="18"/>
                <w:szCs w:val="18"/>
              </w:rPr>
            </w:pPr>
            <w:r w:rsidRPr="00247A21">
              <w:rPr>
                <w:rFonts w:ascii="Helvetica-Light" w:hAnsi="Helvetica-Light"/>
                <w:sz w:val="18"/>
                <w:szCs w:val="18"/>
              </w:rPr>
              <w:t>how adequate resources are assigned to the improvement</w:t>
            </w:r>
          </w:p>
          <w:p w14:paraId="65D7B61A" w14:textId="77777777" w:rsidR="003E2301" w:rsidRPr="00247A21" w:rsidRDefault="003E2301" w:rsidP="003E2301">
            <w:pPr>
              <w:numPr>
                <w:ilvl w:val="0"/>
                <w:numId w:val="37"/>
              </w:numPr>
              <w:spacing w:after="60"/>
              <w:rPr>
                <w:rFonts w:ascii="Helvetica-Light" w:hAnsi="Helvetica-Light"/>
                <w:sz w:val="18"/>
                <w:szCs w:val="18"/>
              </w:rPr>
            </w:pPr>
            <w:r w:rsidRPr="00247A21">
              <w:rPr>
                <w:rFonts w:ascii="Helvetica-Light" w:hAnsi="Helvetica-Light"/>
                <w:sz w:val="18"/>
                <w:szCs w:val="18"/>
              </w:rPr>
              <w:t>how the process is free of inappropriate or conflicted influence (including by government, the profession, employers, or other interested parties)</w:t>
            </w:r>
          </w:p>
          <w:p w14:paraId="6C20BE30" w14:textId="77777777" w:rsidR="006E6F6F" w:rsidRPr="00247A21" w:rsidRDefault="003E2301" w:rsidP="003E461F">
            <w:pPr>
              <w:numPr>
                <w:ilvl w:val="0"/>
                <w:numId w:val="37"/>
              </w:numPr>
              <w:spacing w:after="60"/>
              <w:rPr>
                <w:rFonts w:ascii="Helvetica-Light" w:hAnsi="Helvetica-Light"/>
                <w:sz w:val="18"/>
                <w:szCs w:val="18"/>
              </w:rPr>
            </w:pPr>
            <w:r w:rsidRPr="00247A21">
              <w:rPr>
                <w:rFonts w:ascii="Helvetica-Light" w:hAnsi="Helvetica-Light"/>
                <w:sz w:val="18"/>
                <w:szCs w:val="18"/>
              </w:rPr>
              <w:t>the process of engaging and consultation with stakeholders (e.g. members, public, consumers, regulators, related occupational associations) to assure alignment</w:t>
            </w:r>
            <w:r w:rsidR="009B0445" w:rsidRPr="00247A21">
              <w:rPr>
                <w:rFonts w:ascii="Helvetica-Light" w:hAnsi="Helvetica-Light"/>
                <w:sz w:val="18"/>
                <w:szCs w:val="18"/>
              </w:rPr>
              <w:t xml:space="preserve"> </w:t>
            </w:r>
          </w:p>
          <w:p w14:paraId="5C48FC0A" w14:textId="61DAD809" w:rsidR="003E461F" w:rsidRPr="00247A21" w:rsidRDefault="003E461F" w:rsidP="003E461F">
            <w:pPr>
              <w:numPr>
                <w:ilvl w:val="0"/>
                <w:numId w:val="37"/>
              </w:numPr>
              <w:spacing w:after="60"/>
              <w:rPr>
                <w:rFonts w:ascii="Helvetica-Light" w:hAnsi="Helvetica-Light"/>
                <w:sz w:val="18"/>
                <w:szCs w:val="18"/>
              </w:rPr>
            </w:pPr>
            <w:r w:rsidRPr="00247A21">
              <w:rPr>
                <w:rFonts w:ascii="Helvetica-Light" w:hAnsi="Helvetica-Light"/>
                <w:sz w:val="18"/>
                <w:szCs w:val="18"/>
              </w:rPr>
              <w:t xml:space="preserve">the development of practical measures of effectiveness of each professional risk management strategy e.g. collection, collation, analysis and reporting to the governing body  </w:t>
            </w:r>
          </w:p>
          <w:p w14:paraId="31403651" w14:textId="7004152A" w:rsidR="003E461F" w:rsidRPr="00247A21" w:rsidRDefault="003E461F" w:rsidP="003E461F">
            <w:pPr>
              <w:numPr>
                <w:ilvl w:val="0"/>
                <w:numId w:val="37"/>
              </w:numPr>
              <w:spacing w:after="60"/>
              <w:rPr>
                <w:rFonts w:ascii="Helvetica-Light" w:hAnsi="Helvetica-Light"/>
                <w:sz w:val="18"/>
                <w:szCs w:val="18"/>
              </w:rPr>
            </w:pPr>
            <w:r w:rsidRPr="00247A21">
              <w:rPr>
                <w:rFonts w:ascii="Helvetica-Light" w:hAnsi="Helvetica-Light"/>
                <w:sz w:val="18"/>
                <w:szCs w:val="18"/>
              </w:rPr>
              <w:t>what changes require governing body approval and formal approval by a general meeting of members.</w:t>
            </w:r>
          </w:p>
        </w:tc>
        <w:tc>
          <w:tcPr>
            <w:tcW w:w="4140" w:type="dxa"/>
          </w:tcPr>
          <w:p w14:paraId="1D4464B0" w14:textId="591F53F5" w:rsidR="006E6F6F" w:rsidRPr="00247A21" w:rsidRDefault="006E6F6F" w:rsidP="006E6F6F">
            <w:pPr>
              <w:rPr>
                <w:rFonts w:ascii="Helvetica-Light" w:hAnsi="Helvetica-Light"/>
                <w:sz w:val="18"/>
                <w:szCs w:val="18"/>
              </w:rPr>
            </w:pPr>
          </w:p>
        </w:tc>
      </w:tr>
    </w:tbl>
    <w:p w14:paraId="3EDDE2F6" w14:textId="29E2890E" w:rsidR="00350FA3" w:rsidRPr="006C5B7E" w:rsidRDefault="00350FA3" w:rsidP="00E96139">
      <w:pPr>
        <w:pStyle w:val="BodyText"/>
        <w:ind w:left="720"/>
        <w:rPr>
          <w:rFonts w:ascii="Helvetica-Light" w:hAnsi="Helvetica-Light"/>
          <w:sz w:val="2"/>
          <w:szCs w:val="2"/>
        </w:rPr>
      </w:pPr>
    </w:p>
    <w:tbl>
      <w:tblPr>
        <w:tblStyle w:val="TableGrid1"/>
        <w:tblpPr w:leftFromText="180" w:rightFromText="180" w:vertAnchor="text" w:tblpY="1"/>
        <w:tblOverlap w:val="never"/>
        <w:tblW w:w="9085" w:type="dxa"/>
        <w:tblLook w:val="04A0" w:firstRow="1" w:lastRow="0" w:firstColumn="1" w:lastColumn="0" w:noHBand="0" w:noVBand="1"/>
      </w:tblPr>
      <w:tblGrid>
        <w:gridCol w:w="3145"/>
        <w:gridCol w:w="5940"/>
      </w:tblGrid>
      <w:tr w:rsidR="00092A86" w:rsidRPr="00092A86" w14:paraId="5672F0E1" w14:textId="77777777" w:rsidTr="00C84627">
        <w:trPr>
          <w:cantSplit/>
          <w:trHeight w:val="269"/>
        </w:trPr>
        <w:tc>
          <w:tcPr>
            <w:tcW w:w="9085" w:type="dxa"/>
            <w:gridSpan w:val="2"/>
            <w:shd w:val="clear" w:color="auto" w:fill="000000" w:themeFill="text1"/>
          </w:tcPr>
          <w:p w14:paraId="333A1636" w14:textId="46B380E5" w:rsidR="00092A86" w:rsidRPr="00092A86" w:rsidRDefault="00092A86" w:rsidP="00092A86">
            <w:pPr>
              <w:numPr>
                <w:ilvl w:val="0"/>
                <w:numId w:val="21"/>
              </w:numPr>
              <w:contextualSpacing/>
              <w:rPr>
                <w:rFonts w:ascii="Helvetica-Light" w:hAnsi="Helvetica-Light"/>
                <w:b/>
                <w:bCs/>
                <w:sz w:val="20"/>
                <w:szCs w:val="20"/>
                <w:lang w:eastAsia="en-US"/>
              </w:rPr>
            </w:pPr>
            <w:r>
              <w:rPr>
                <w:rFonts w:ascii="Helvetica-Light" w:hAnsi="Helvetica-Light"/>
                <w:b/>
                <w:bCs/>
                <w:sz w:val="20"/>
                <w:szCs w:val="20"/>
                <w:lang w:eastAsia="en-US"/>
              </w:rPr>
              <w:t>EXAMPLE</w:t>
            </w:r>
            <w:r w:rsidRPr="00092A86">
              <w:rPr>
                <w:rFonts w:ascii="Helvetica-Light" w:hAnsi="Helvetica-Light"/>
                <w:b/>
                <w:bCs/>
                <w:sz w:val="20"/>
                <w:szCs w:val="20"/>
                <w:lang w:eastAsia="en-US"/>
              </w:rPr>
              <w:t xml:space="preserve">: </w:t>
            </w:r>
            <w:r>
              <w:rPr>
                <w:rFonts w:ascii="Helvetica-Light" w:hAnsi="Helvetica-Light"/>
                <w:b/>
                <w:bCs/>
                <w:i/>
                <w:iCs/>
                <w:sz w:val="20"/>
                <w:szCs w:val="20"/>
                <w:lang w:eastAsia="en-US"/>
              </w:rPr>
              <w:t>BEST PRACTICE</w:t>
            </w:r>
          </w:p>
        </w:tc>
      </w:tr>
      <w:tr w:rsidR="00092A86" w:rsidRPr="00092A86" w14:paraId="3160CCA9" w14:textId="77777777" w:rsidTr="00C84627">
        <w:trPr>
          <w:trHeight w:val="338"/>
        </w:trPr>
        <w:tc>
          <w:tcPr>
            <w:tcW w:w="9085" w:type="dxa"/>
            <w:gridSpan w:val="2"/>
          </w:tcPr>
          <w:p w14:paraId="128FCAB9" w14:textId="64DADE45" w:rsidR="00092A86" w:rsidRPr="00247A21" w:rsidRDefault="00092A86" w:rsidP="00092A86">
            <w:pPr>
              <w:spacing w:after="60"/>
              <w:rPr>
                <w:rFonts w:ascii="Helvetica-Light" w:hAnsi="Helvetica-Light"/>
                <w:sz w:val="18"/>
                <w:szCs w:val="18"/>
                <w:lang w:eastAsia="en-US"/>
              </w:rPr>
            </w:pPr>
            <w:r w:rsidRPr="00247A21">
              <w:rPr>
                <w:rFonts w:ascii="Helvetica-Light" w:hAnsi="Helvetica-Light"/>
                <w:sz w:val="18"/>
                <w:szCs w:val="18"/>
                <w:lang w:eastAsia="en-US"/>
              </w:rPr>
              <w:t>The following is a best practice example of how professional risks and related treatment plans could be presented:</w:t>
            </w:r>
          </w:p>
        </w:tc>
      </w:tr>
      <w:tr w:rsidR="00092A86" w:rsidRPr="00092A86" w14:paraId="23BA878C" w14:textId="77777777" w:rsidTr="00736F71">
        <w:trPr>
          <w:trHeight w:val="347"/>
        </w:trPr>
        <w:tc>
          <w:tcPr>
            <w:tcW w:w="3145" w:type="dxa"/>
            <w:shd w:val="clear" w:color="auto" w:fill="E7E6E6" w:themeFill="background2"/>
          </w:tcPr>
          <w:p w14:paraId="699844BC" w14:textId="5B640819" w:rsidR="00092A86" w:rsidRPr="00247A21" w:rsidRDefault="006C5B7E" w:rsidP="00092A86">
            <w:pPr>
              <w:spacing w:after="60"/>
              <w:rPr>
                <w:rFonts w:ascii="Helvetica-Light" w:hAnsi="Helvetica-Light"/>
                <w:b/>
                <w:bCs/>
                <w:i/>
                <w:iCs/>
                <w:sz w:val="18"/>
                <w:szCs w:val="18"/>
                <w:lang w:eastAsia="en-US"/>
              </w:rPr>
            </w:pPr>
            <w:r w:rsidRPr="00247A21">
              <w:rPr>
                <w:rFonts w:ascii="Helvetica-Light" w:hAnsi="Helvetica-Light"/>
                <w:b/>
                <w:bCs/>
                <w:i/>
                <w:iCs/>
                <w:sz w:val="18"/>
                <w:szCs w:val="18"/>
                <w:lang w:eastAsia="en-US"/>
              </w:rPr>
              <w:lastRenderedPageBreak/>
              <w:t>Risk focus area</w:t>
            </w:r>
            <w:r w:rsidR="00435420" w:rsidRPr="00247A21">
              <w:rPr>
                <w:rFonts w:ascii="Helvetica-Light" w:hAnsi="Helvetica-Light"/>
                <w:i/>
                <w:iCs/>
                <w:sz w:val="18"/>
                <w:szCs w:val="18"/>
                <w:lang w:eastAsia="en-US"/>
              </w:rPr>
              <w:t xml:space="preserve"> (</w:t>
            </w:r>
            <w:r w:rsidR="009C71F1" w:rsidRPr="00247A21">
              <w:rPr>
                <w:rFonts w:ascii="Helvetica-Light" w:hAnsi="Helvetica-Light"/>
                <w:i/>
                <w:iCs/>
                <w:sz w:val="18"/>
                <w:szCs w:val="18"/>
                <w:lang w:eastAsia="en-US"/>
              </w:rPr>
              <w:t xml:space="preserve">generic </w:t>
            </w:r>
            <w:r w:rsidR="00435420" w:rsidRPr="00247A21">
              <w:rPr>
                <w:rFonts w:ascii="Helvetica-Light" w:hAnsi="Helvetica-Light"/>
                <w:i/>
                <w:iCs/>
                <w:sz w:val="18"/>
                <w:szCs w:val="18"/>
                <w:lang w:eastAsia="en-US"/>
              </w:rPr>
              <w:t>example</w:t>
            </w:r>
            <w:r w:rsidR="009C71F1" w:rsidRPr="00247A21">
              <w:rPr>
                <w:rFonts w:ascii="Helvetica-Light" w:hAnsi="Helvetica-Light"/>
                <w:i/>
                <w:iCs/>
                <w:sz w:val="18"/>
                <w:szCs w:val="18"/>
                <w:lang w:eastAsia="en-US"/>
              </w:rPr>
              <w:t>s</w:t>
            </w:r>
            <w:r w:rsidR="00435420" w:rsidRPr="00247A21">
              <w:rPr>
                <w:rFonts w:ascii="Helvetica-Light" w:hAnsi="Helvetica-Light"/>
                <w:i/>
                <w:iCs/>
                <w:sz w:val="18"/>
                <w:szCs w:val="18"/>
                <w:lang w:eastAsia="en-US"/>
              </w:rPr>
              <w:t xml:space="preserve"> only)</w:t>
            </w:r>
          </w:p>
        </w:tc>
        <w:tc>
          <w:tcPr>
            <w:tcW w:w="5940" w:type="dxa"/>
            <w:shd w:val="clear" w:color="auto" w:fill="E7E6E6" w:themeFill="background2"/>
          </w:tcPr>
          <w:p w14:paraId="1191DC3B" w14:textId="2F65F7B9" w:rsidR="00092A86" w:rsidRPr="00247A21" w:rsidRDefault="006C5B7E" w:rsidP="00092A86">
            <w:pPr>
              <w:spacing w:after="60"/>
              <w:rPr>
                <w:rFonts w:ascii="Helvetica-Light" w:hAnsi="Helvetica-Light"/>
                <w:b/>
                <w:bCs/>
                <w:i/>
                <w:iCs/>
                <w:sz w:val="18"/>
                <w:szCs w:val="18"/>
                <w:lang w:eastAsia="en-US"/>
              </w:rPr>
            </w:pPr>
            <w:r w:rsidRPr="00247A21">
              <w:rPr>
                <w:rFonts w:ascii="Helvetica-Light" w:hAnsi="Helvetica-Light"/>
                <w:b/>
                <w:bCs/>
                <w:i/>
                <w:iCs/>
                <w:sz w:val="18"/>
                <w:szCs w:val="18"/>
                <w:lang w:eastAsia="en-US"/>
              </w:rPr>
              <w:t>Approach</w:t>
            </w:r>
            <w:r w:rsidR="00435420" w:rsidRPr="00247A21">
              <w:rPr>
                <w:rFonts w:ascii="Helvetica-Light" w:hAnsi="Helvetica-Light"/>
                <w:b/>
                <w:bCs/>
                <w:i/>
                <w:iCs/>
                <w:sz w:val="18"/>
                <w:szCs w:val="18"/>
                <w:lang w:eastAsia="en-US"/>
              </w:rPr>
              <w:t xml:space="preserve"> </w:t>
            </w:r>
            <w:r w:rsidR="00435420" w:rsidRPr="00247A21">
              <w:rPr>
                <w:rFonts w:ascii="Helvetica-Light" w:hAnsi="Helvetica-Light"/>
                <w:i/>
                <w:iCs/>
                <w:sz w:val="18"/>
                <w:szCs w:val="18"/>
                <w:lang w:eastAsia="en-US"/>
              </w:rPr>
              <w:t>(</w:t>
            </w:r>
            <w:r w:rsidR="009C71F1" w:rsidRPr="00247A21">
              <w:rPr>
                <w:rFonts w:ascii="Helvetica-Light" w:hAnsi="Helvetica-Light"/>
                <w:i/>
                <w:iCs/>
                <w:sz w:val="18"/>
                <w:szCs w:val="18"/>
                <w:lang w:eastAsia="en-US"/>
              </w:rPr>
              <w:t xml:space="preserve">generic </w:t>
            </w:r>
            <w:r w:rsidR="00435420" w:rsidRPr="00247A21">
              <w:rPr>
                <w:rFonts w:ascii="Helvetica-Light" w:hAnsi="Helvetica-Light"/>
                <w:i/>
                <w:iCs/>
                <w:sz w:val="18"/>
                <w:szCs w:val="18"/>
                <w:lang w:eastAsia="en-US"/>
              </w:rPr>
              <w:t>example</w:t>
            </w:r>
            <w:r w:rsidR="009C71F1" w:rsidRPr="00247A21">
              <w:rPr>
                <w:rFonts w:ascii="Helvetica-Light" w:hAnsi="Helvetica-Light"/>
                <w:i/>
                <w:iCs/>
                <w:sz w:val="18"/>
                <w:szCs w:val="18"/>
                <w:lang w:eastAsia="en-US"/>
              </w:rPr>
              <w:t>s</w:t>
            </w:r>
            <w:r w:rsidR="00435420" w:rsidRPr="00247A21">
              <w:rPr>
                <w:rFonts w:ascii="Helvetica-Light" w:hAnsi="Helvetica-Light"/>
                <w:i/>
                <w:iCs/>
                <w:sz w:val="18"/>
                <w:szCs w:val="18"/>
                <w:lang w:eastAsia="en-US"/>
              </w:rPr>
              <w:t xml:space="preserve"> only)</w:t>
            </w:r>
          </w:p>
        </w:tc>
      </w:tr>
      <w:tr w:rsidR="00092A86" w:rsidRPr="00092A86" w14:paraId="762FBC54" w14:textId="77777777" w:rsidTr="00736F71">
        <w:trPr>
          <w:trHeight w:val="617"/>
        </w:trPr>
        <w:tc>
          <w:tcPr>
            <w:tcW w:w="3145" w:type="dxa"/>
          </w:tcPr>
          <w:p w14:paraId="45EEBD9B" w14:textId="6F1D0945" w:rsidR="00092A86" w:rsidRPr="00247A21" w:rsidRDefault="006C5B7E" w:rsidP="00092A86">
            <w:pPr>
              <w:spacing w:after="60"/>
              <w:rPr>
                <w:rFonts w:ascii="Helvetica-Light" w:hAnsi="Helvetica-Light"/>
                <w:b/>
                <w:bCs/>
                <w:sz w:val="18"/>
                <w:szCs w:val="18"/>
                <w:lang w:eastAsia="en-US"/>
              </w:rPr>
            </w:pPr>
            <w:r w:rsidRPr="00247A21">
              <w:rPr>
                <w:rFonts w:ascii="Helvetica-Light" w:hAnsi="Helvetica-Light"/>
                <w:b/>
                <w:bCs/>
                <w:sz w:val="18"/>
                <w:szCs w:val="18"/>
                <w:lang w:eastAsia="en-US"/>
              </w:rPr>
              <w:t>Profession-specific knowledge gap</w:t>
            </w:r>
          </w:p>
        </w:tc>
        <w:tc>
          <w:tcPr>
            <w:tcW w:w="5940" w:type="dxa"/>
          </w:tcPr>
          <w:p w14:paraId="3A5C74F7" w14:textId="716F91DC" w:rsidR="006C5B7E" w:rsidRPr="00247A21" w:rsidRDefault="006C5B7E"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failure of association members to maintain practice and/or procedural professional-specific knowledge through inadequate or lack of ongoing profession-specific education</w:t>
            </w:r>
          </w:p>
          <w:p w14:paraId="08F75C7C" w14:textId="19AC8007" w:rsidR="006C5B7E" w:rsidRPr="00247A21" w:rsidRDefault="006C5B7E"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moderate/low</w:t>
            </w:r>
          </w:p>
          <w:p w14:paraId="02C7E660" w14:textId="64D373B9" w:rsidR="006C5B7E" w:rsidRPr="00247A21" w:rsidRDefault="006C5B7E"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Strategy objectives</w:t>
            </w:r>
            <w:r w:rsidRPr="00247A21">
              <w:rPr>
                <w:rFonts w:ascii="Helvetica-Light" w:hAnsi="Helvetica-Light"/>
                <w:sz w:val="18"/>
                <w:szCs w:val="18"/>
                <w:lang w:eastAsia="en-US"/>
              </w:rPr>
              <w:t xml:space="preserve"> e.g. ensure that members keep </w:t>
            </w:r>
            <w:proofErr w:type="gramStart"/>
            <w:r w:rsidRPr="00247A21">
              <w:rPr>
                <w:rFonts w:ascii="Helvetica-Light" w:hAnsi="Helvetica-Light"/>
                <w:sz w:val="18"/>
                <w:szCs w:val="18"/>
                <w:lang w:eastAsia="en-US"/>
              </w:rPr>
              <w:t>up-to-date</w:t>
            </w:r>
            <w:proofErr w:type="gramEnd"/>
            <w:r w:rsidRPr="00247A21">
              <w:rPr>
                <w:rFonts w:ascii="Helvetica-Light" w:hAnsi="Helvetica-Light"/>
                <w:sz w:val="18"/>
                <w:szCs w:val="18"/>
                <w:lang w:eastAsia="en-US"/>
              </w:rPr>
              <w:t xml:space="preserve"> with profession-specific knowledge, raise awareness of networking forums, and facilitate access to more education </w:t>
            </w:r>
            <w:r w:rsidR="000047FC" w:rsidRPr="00247A21">
              <w:rPr>
                <w:rFonts w:ascii="Helvetica-Light" w:hAnsi="Helvetica-Light"/>
                <w:sz w:val="18"/>
                <w:szCs w:val="18"/>
                <w:lang w:eastAsia="en-US"/>
              </w:rPr>
              <w:t>programs (e.g. CPD) that maximises new technologies</w:t>
            </w:r>
            <w:r w:rsidRPr="00247A21">
              <w:rPr>
                <w:rFonts w:ascii="Helvetica-Light" w:hAnsi="Helvetica-Light"/>
                <w:sz w:val="18"/>
                <w:szCs w:val="18"/>
                <w:lang w:eastAsia="en-US"/>
              </w:rPr>
              <w:t xml:space="preserve"> </w:t>
            </w:r>
          </w:p>
          <w:p w14:paraId="71059ABC" w14:textId="158F2E44" w:rsidR="000047FC" w:rsidRPr="00247A21" w:rsidRDefault="000047FC"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obligation to comply with CPD requirements, annual assessment of complaint and claims data</w:t>
            </w:r>
          </w:p>
          <w:p w14:paraId="72ECC28A" w14:textId="498CCE04" w:rsidR="00092A86" w:rsidRPr="00247A21" w:rsidRDefault="000047FC"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imposition of additional membership conditions, maintenance of professional responsibility website, practice area support services</w:t>
            </w:r>
          </w:p>
          <w:p w14:paraId="696C2E0E" w14:textId="0507B48B" w:rsidR="00092A86" w:rsidRPr="00247A21" w:rsidRDefault="000047FC" w:rsidP="009C71F1">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compliance with CPD requirements and annual audits</w:t>
            </w:r>
            <w:r w:rsidR="0089454C">
              <w:rPr>
                <w:rFonts w:ascii="Helvetica-Light" w:hAnsi="Helvetica-Light"/>
                <w:sz w:val="18"/>
                <w:szCs w:val="18"/>
                <w:lang w:eastAsia="en-US"/>
              </w:rPr>
              <w:t>.</w:t>
            </w:r>
            <w:r w:rsidR="00092A86" w:rsidRPr="00247A21">
              <w:rPr>
                <w:rFonts w:ascii="Helvetica-Light" w:hAnsi="Helvetica-Light"/>
                <w:sz w:val="18"/>
                <w:szCs w:val="18"/>
                <w:lang w:eastAsia="en-US"/>
              </w:rPr>
              <w:t xml:space="preserve"> </w:t>
            </w:r>
          </w:p>
        </w:tc>
      </w:tr>
      <w:tr w:rsidR="00092A86" w:rsidRPr="00092A86" w14:paraId="08616564" w14:textId="77777777" w:rsidTr="00736F71">
        <w:trPr>
          <w:trHeight w:val="536"/>
        </w:trPr>
        <w:tc>
          <w:tcPr>
            <w:tcW w:w="3145" w:type="dxa"/>
          </w:tcPr>
          <w:p w14:paraId="0C0749B7" w14:textId="17012E0D" w:rsidR="00092A86" w:rsidRPr="00247A21" w:rsidRDefault="00435420" w:rsidP="00435420">
            <w:pPr>
              <w:spacing w:after="60"/>
              <w:rPr>
                <w:rFonts w:ascii="Helvetica-Light" w:hAnsi="Helvetica-Light"/>
                <w:b/>
                <w:bCs/>
                <w:sz w:val="18"/>
                <w:szCs w:val="18"/>
                <w:lang w:eastAsia="en-US"/>
              </w:rPr>
            </w:pPr>
            <w:r w:rsidRPr="00247A21">
              <w:rPr>
                <w:rFonts w:ascii="Helvetica-Light" w:hAnsi="Helvetica-Light"/>
                <w:b/>
                <w:bCs/>
                <w:sz w:val="18"/>
                <w:szCs w:val="18"/>
                <w:lang w:eastAsia="en-US"/>
              </w:rPr>
              <w:t>Deficient practice management and business skills/process</w:t>
            </w:r>
          </w:p>
        </w:tc>
        <w:tc>
          <w:tcPr>
            <w:tcW w:w="5940" w:type="dxa"/>
          </w:tcPr>
          <w:p w14:paraId="2D8FB25A" w14:textId="45F4AA99"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w:t>
            </w:r>
            <w:r w:rsidR="009C71F1" w:rsidRPr="00247A21">
              <w:rPr>
                <w:rFonts w:ascii="Helvetica-Light" w:hAnsi="Helvetica-Light"/>
                <w:sz w:val="18"/>
                <w:szCs w:val="18"/>
                <w:lang w:eastAsia="en-US"/>
              </w:rPr>
              <w:t>inadequate knowledge and practical skills in managing the business, lack of profession-specific, accounting and risk management processes</w:t>
            </w:r>
          </w:p>
          <w:p w14:paraId="7CB9F870" w14:textId="583B8021"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moderate</w:t>
            </w:r>
          </w:p>
          <w:p w14:paraId="4A564A57" w14:textId="77777777" w:rsidR="00986AE9"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Strategy objectives</w:t>
            </w:r>
            <w:r w:rsidRPr="00247A21">
              <w:rPr>
                <w:rFonts w:ascii="Helvetica-Light" w:hAnsi="Helvetica-Light"/>
                <w:sz w:val="18"/>
                <w:szCs w:val="18"/>
                <w:lang w:eastAsia="en-US"/>
              </w:rPr>
              <w:t xml:space="preserve"> e.g. ensure that members </w:t>
            </w:r>
            <w:r w:rsidR="00986AE9" w:rsidRPr="00247A21">
              <w:rPr>
                <w:rFonts w:ascii="Helvetica-Light" w:hAnsi="Helvetica-Light"/>
                <w:sz w:val="18"/>
                <w:szCs w:val="18"/>
                <w:lang w:eastAsia="en-US"/>
              </w:rPr>
              <w:t>are provided with information, advice and profession-specific support services to improve standards and reduce risks to consumers/clients</w:t>
            </w:r>
          </w:p>
          <w:p w14:paraId="754579CE" w14:textId="017A3D42" w:rsidR="00986AE9"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250816" w:rsidRPr="00247A21">
              <w:rPr>
                <w:rFonts w:ascii="Helvetica-Light" w:hAnsi="Helvetica-Light"/>
                <w:sz w:val="18"/>
                <w:szCs w:val="18"/>
                <w:lang w:eastAsia="en-US"/>
              </w:rPr>
              <w:t>stricter</w:t>
            </w:r>
            <w:r w:rsidR="00986AE9" w:rsidRPr="00247A21">
              <w:rPr>
                <w:rFonts w:ascii="Helvetica-Light" w:hAnsi="Helvetica-Light"/>
                <w:sz w:val="18"/>
                <w:szCs w:val="18"/>
                <w:lang w:eastAsia="en-US"/>
              </w:rPr>
              <w:t xml:space="preserve"> association conditions for members to conduct profession-specific services</w:t>
            </w:r>
          </w:p>
          <w:p w14:paraId="6622FCDF" w14:textId="77777777" w:rsidR="00986AE9"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986AE9" w:rsidRPr="00247A21">
              <w:rPr>
                <w:rFonts w:ascii="Helvetica-Light" w:hAnsi="Helvetica-Light"/>
                <w:sz w:val="18"/>
                <w:szCs w:val="18"/>
                <w:lang w:eastAsia="en-US"/>
              </w:rPr>
              <w:t>CPD education programs to address risk identified</w:t>
            </w:r>
          </w:p>
          <w:p w14:paraId="3954E1A6" w14:textId="6E8BD217" w:rsidR="00092A86"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986AE9" w:rsidRPr="00247A21">
              <w:rPr>
                <w:rFonts w:ascii="Helvetica-Light" w:hAnsi="Helvetica-Light"/>
                <w:sz w:val="18"/>
                <w:szCs w:val="18"/>
                <w:lang w:eastAsia="en-US"/>
              </w:rPr>
              <w:t xml:space="preserve">analysis of feedback from profession-specific management education courses, review of complaints data arising from causes of practice-related </w:t>
            </w:r>
            <w:r w:rsidR="009226EA" w:rsidRPr="00247A21">
              <w:rPr>
                <w:rFonts w:ascii="Helvetica-Light" w:hAnsi="Helvetica-Light"/>
                <w:sz w:val="18"/>
                <w:szCs w:val="18"/>
                <w:lang w:eastAsia="en-US"/>
              </w:rPr>
              <w:t xml:space="preserve">management/skills </w:t>
            </w:r>
            <w:r w:rsidR="00986AE9" w:rsidRPr="00247A21">
              <w:rPr>
                <w:rFonts w:ascii="Helvetica-Light" w:hAnsi="Helvetica-Light"/>
                <w:sz w:val="18"/>
                <w:szCs w:val="18"/>
                <w:lang w:eastAsia="en-US"/>
              </w:rPr>
              <w:t>complaints</w:t>
            </w:r>
            <w:r w:rsidR="0089454C">
              <w:rPr>
                <w:rFonts w:ascii="Helvetica-Light" w:hAnsi="Helvetica-Light"/>
                <w:sz w:val="18"/>
                <w:szCs w:val="18"/>
                <w:lang w:eastAsia="en-US"/>
              </w:rPr>
              <w:t>.</w:t>
            </w:r>
          </w:p>
        </w:tc>
      </w:tr>
      <w:tr w:rsidR="00092A86" w:rsidRPr="00092A86" w14:paraId="7B0F1473" w14:textId="77777777" w:rsidTr="00736F71">
        <w:trPr>
          <w:trHeight w:val="536"/>
        </w:trPr>
        <w:tc>
          <w:tcPr>
            <w:tcW w:w="3145" w:type="dxa"/>
          </w:tcPr>
          <w:p w14:paraId="1B7B56C4" w14:textId="79F12DAC" w:rsidR="00092A86" w:rsidRPr="00247A21" w:rsidRDefault="00986AE9" w:rsidP="00092A86">
            <w:pPr>
              <w:spacing w:after="60"/>
              <w:rPr>
                <w:rFonts w:ascii="Helvetica-Light" w:hAnsi="Helvetica-Light"/>
                <w:b/>
                <w:bCs/>
                <w:sz w:val="18"/>
                <w:szCs w:val="18"/>
                <w:lang w:eastAsia="en-US"/>
              </w:rPr>
            </w:pPr>
            <w:r w:rsidRPr="00247A21">
              <w:rPr>
                <w:rFonts w:ascii="Helvetica-Light" w:hAnsi="Helvetica-Light"/>
                <w:b/>
                <w:bCs/>
                <w:sz w:val="18"/>
                <w:szCs w:val="18"/>
                <w:lang w:eastAsia="en-US"/>
              </w:rPr>
              <w:t>Poor service delivery and communication</w:t>
            </w:r>
          </w:p>
        </w:tc>
        <w:tc>
          <w:tcPr>
            <w:tcW w:w="5940" w:type="dxa"/>
          </w:tcPr>
          <w:p w14:paraId="09AC22BA" w14:textId="14CBCAC3"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w:t>
            </w:r>
            <w:r w:rsidR="004E703E" w:rsidRPr="00247A21">
              <w:rPr>
                <w:rFonts w:ascii="Helvetica-Light" w:hAnsi="Helvetica-Light"/>
                <w:sz w:val="18"/>
                <w:szCs w:val="18"/>
                <w:lang w:eastAsia="en-US"/>
              </w:rPr>
              <w:t>risks arising from a failure in communication with consumers in a professional manner, leading to services failures, failure to communicate delays and reasons for delays to consumers</w:t>
            </w:r>
          </w:p>
          <w:p w14:paraId="2BBCF597" w14:textId="6343321D"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moderate</w:t>
            </w:r>
          </w:p>
          <w:p w14:paraId="0B26684B" w14:textId="44BE05F6"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Strategy objectives</w:t>
            </w:r>
            <w:r w:rsidRPr="00247A21">
              <w:rPr>
                <w:rFonts w:ascii="Helvetica-Light" w:hAnsi="Helvetica-Light"/>
                <w:sz w:val="18"/>
                <w:szCs w:val="18"/>
                <w:lang w:eastAsia="en-US"/>
              </w:rPr>
              <w:t xml:space="preserve"> e.g. ensure that members </w:t>
            </w:r>
            <w:r w:rsidR="004E703E" w:rsidRPr="00247A21">
              <w:rPr>
                <w:rFonts w:ascii="Helvetica-Light" w:hAnsi="Helvetica-Light"/>
                <w:sz w:val="18"/>
                <w:szCs w:val="18"/>
                <w:lang w:eastAsia="en-US"/>
              </w:rPr>
              <w:t>are provided with information, advice and profession-specific support services to improve communication and service delivery standards and reduce risks of inadequate service delivery to consumers</w:t>
            </w:r>
            <w:r w:rsidRPr="00247A21">
              <w:rPr>
                <w:rFonts w:ascii="Helvetica-Light" w:hAnsi="Helvetica-Light"/>
                <w:sz w:val="18"/>
                <w:szCs w:val="18"/>
                <w:lang w:eastAsia="en-US"/>
              </w:rPr>
              <w:t xml:space="preserve"> </w:t>
            </w:r>
          </w:p>
          <w:p w14:paraId="5B7BAED4" w14:textId="3522F045"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4E703E" w:rsidRPr="00247A21">
              <w:rPr>
                <w:rFonts w:ascii="Helvetica-Light" w:hAnsi="Helvetica-Light"/>
                <w:sz w:val="18"/>
                <w:szCs w:val="18"/>
                <w:lang w:eastAsia="en-US"/>
              </w:rPr>
              <w:t>development and promotion of seminars on service delivery and communication awareness</w:t>
            </w:r>
          </w:p>
          <w:p w14:paraId="32EEF3F3" w14:textId="04A26D4E"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4E703E" w:rsidRPr="00247A21">
              <w:rPr>
                <w:rFonts w:ascii="Helvetica-Light" w:hAnsi="Helvetica-Light"/>
                <w:sz w:val="18"/>
                <w:szCs w:val="18"/>
                <w:lang w:eastAsia="en-US"/>
              </w:rPr>
              <w:t>review the level of access to CPD seminars on service delivery and communication awareness</w:t>
            </w:r>
          </w:p>
          <w:p w14:paraId="07023745" w14:textId="0F489514" w:rsidR="00092A86"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4E703E" w:rsidRPr="00247A21">
              <w:rPr>
                <w:rFonts w:ascii="Helvetica-Light" w:hAnsi="Helvetica-Light"/>
                <w:sz w:val="18"/>
                <w:szCs w:val="18"/>
                <w:lang w:eastAsia="en-US"/>
              </w:rPr>
              <w:t>statistics on claims arising out of service delivery and communication failures</w:t>
            </w:r>
            <w:r w:rsidR="0089454C">
              <w:rPr>
                <w:rFonts w:ascii="Helvetica-Light" w:hAnsi="Helvetica-Light"/>
                <w:sz w:val="18"/>
                <w:szCs w:val="18"/>
                <w:lang w:eastAsia="en-US"/>
              </w:rPr>
              <w:t>.</w:t>
            </w:r>
            <w:r w:rsidR="00092A86" w:rsidRPr="00247A21">
              <w:rPr>
                <w:rFonts w:ascii="Helvetica-Light" w:hAnsi="Helvetica-Light"/>
                <w:sz w:val="18"/>
                <w:szCs w:val="18"/>
                <w:lang w:eastAsia="en-US"/>
              </w:rPr>
              <w:t xml:space="preserve">  </w:t>
            </w:r>
          </w:p>
        </w:tc>
      </w:tr>
      <w:tr w:rsidR="00092A86" w:rsidRPr="00092A86" w14:paraId="1119D187" w14:textId="77777777" w:rsidTr="00736F71">
        <w:trPr>
          <w:trHeight w:val="530"/>
        </w:trPr>
        <w:tc>
          <w:tcPr>
            <w:tcW w:w="3145" w:type="dxa"/>
          </w:tcPr>
          <w:p w14:paraId="0C907D70" w14:textId="59B31402" w:rsidR="00092A86" w:rsidRPr="00247A21" w:rsidRDefault="00F608AF" w:rsidP="00092A86">
            <w:pPr>
              <w:spacing w:after="60"/>
              <w:rPr>
                <w:rFonts w:ascii="Helvetica-Light" w:hAnsi="Helvetica-Light"/>
                <w:b/>
                <w:bCs/>
                <w:sz w:val="18"/>
                <w:szCs w:val="18"/>
                <w:lang w:eastAsia="en-US"/>
              </w:rPr>
            </w:pPr>
            <w:r w:rsidRPr="00247A21">
              <w:rPr>
                <w:rFonts w:ascii="Helvetica-Light" w:hAnsi="Helvetica-Light"/>
                <w:b/>
                <w:bCs/>
                <w:sz w:val="18"/>
                <w:szCs w:val="18"/>
                <w:lang w:eastAsia="en-US"/>
              </w:rPr>
              <w:t>Vulnerable consumers</w:t>
            </w:r>
          </w:p>
        </w:tc>
        <w:tc>
          <w:tcPr>
            <w:tcW w:w="5940" w:type="dxa"/>
          </w:tcPr>
          <w:p w14:paraId="5B1A2102" w14:textId="19B22F50"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failure </w:t>
            </w:r>
            <w:r w:rsidR="00D214E8" w:rsidRPr="00247A21">
              <w:rPr>
                <w:rFonts w:ascii="Helvetica-Light" w:hAnsi="Helvetica-Light"/>
                <w:sz w:val="18"/>
                <w:szCs w:val="18"/>
                <w:lang w:eastAsia="en-US"/>
              </w:rPr>
              <w:t>to identify that the consumer is vulnerable, cross-cultural differences leading to misunderstandings between the member and the consumer</w:t>
            </w:r>
          </w:p>
          <w:p w14:paraId="1471279D" w14:textId="24845BD3"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moderate</w:t>
            </w:r>
          </w:p>
          <w:p w14:paraId="54097C5D" w14:textId="3CB7AF13" w:rsidR="00C879EB" w:rsidRPr="00247A21" w:rsidRDefault="00C879EB" w:rsidP="00C84627">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lastRenderedPageBreak/>
              <w:t>Strategy objectives</w:t>
            </w:r>
            <w:r w:rsidRPr="00247A21">
              <w:rPr>
                <w:rFonts w:ascii="Helvetica-Light" w:hAnsi="Helvetica-Light"/>
                <w:sz w:val="18"/>
                <w:szCs w:val="18"/>
                <w:lang w:eastAsia="en-US"/>
              </w:rPr>
              <w:t xml:space="preserve"> e.g. </w:t>
            </w:r>
            <w:r w:rsidR="00D214E8" w:rsidRPr="00247A21">
              <w:rPr>
                <w:rFonts w:ascii="Helvetica-Light" w:hAnsi="Helvetica-Light"/>
                <w:sz w:val="18"/>
                <w:szCs w:val="18"/>
                <w:lang w:eastAsia="en-US"/>
              </w:rPr>
              <w:t>ensure that members are provided with information, advice and profession-specific support to improve communication and service delivery standards to the unsophisticated consumer/client and reduce risks to clients</w:t>
            </w:r>
            <w:r w:rsidRPr="00247A21">
              <w:rPr>
                <w:rFonts w:ascii="Helvetica-Light" w:hAnsi="Helvetica-Light"/>
                <w:sz w:val="18"/>
                <w:szCs w:val="18"/>
                <w:lang w:eastAsia="en-US"/>
              </w:rPr>
              <w:t xml:space="preserve"> </w:t>
            </w:r>
          </w:p>
          <w:p w14:paraId="0AF4DCD2" w14:textId="31DC9040" w:rsidR="00C879EB" w:rsidRPr="00247A21" w:rsidRDefault="00C879EB" w:rsidP="00C84627">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D214E8" w:rsidRPr="00247A21">
              <w:rPr>
                <w:rFonts w:ascii="Helvetica-Light" w:hAnsi="Helvetica-Light"/>
                <w:sz w:val="18"/>
                <w:szCs w:val="18"/>
                <w:lang w:eastAsia="en-US"/>
              </w:rPr>
              <w:t>raise awareness, development and promotion of CPD seminars on elements of managing service delivery and effective communications skill with the unsophisticated consumer</w:t>
            </w:r>
          </w:p>
          <w:p w14:paraId="7011C031" w14:textId="7407075E" w:rsidR="00D214E8" w:rsidRPr="00247A21" w:rsidRDefault="00C879EB" w:rsidP="00D214E8">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D214E8" w:rsidRPr="00247A21">
              <w:rPr>
                <w:rFonts w:ascii="Helvetica-Light" w:hAnsi="Helvetica-Light"/>
                <w:sz w:val="18"/>
                <w:szCs w:val="18"/>
                <w:lang w:eastAsia="en-US"/>
              </w:rPr>
              <w:t>review the level of access to CPD seminars on awareness, elements of managing service delivery and effective communications skill specific to vulnerable/ unsophisticated consumers</w:t>
            </w:r>
          </w:p>
          <w:p w14:paraId="7AC27545" w14:textId="44C9DDA3" w:rsidR="00092A86" w:rsidRPr="00247A21" w:rsidRDefault="00C879EB" w:rsidP="00D214E8">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D214E8" w:rsidRPr="00247A21">
              <w:rPr>
                <w:rFonts w:ascii="Helvetica-Light" w:hAnsi="Helvetica-Light"/>
                <w:sz w:val="18"/>
                <w:szCs w:val="18"/>
                <w:lang w:eastAsia="en-US"/>
              </w:rPr>
              <w:t>review of complaints data arising from causes of complaints underpinned by communications issues with vulnerable consumers or related service delivery issues</w:t>
            </w:r>
            <w:r w:rsidR="0089454C">
              <w:rPr>
                <w:rFonts w:ascii="Helvetica-Light" w:hAnsi="Helvetica-Light"/>
                <w:sz w:val="18"/>
                <w:szCs w:val="18"/>
                <w:lang w:eastAsia="en-US"/>
              </w:rPr>
              <w:t>.</w:t>
            </w:r>
          </w:p>
        </w:tc>
      </w:tr>
      <w:tr w:rsidR="00092A86" w:rsidRPr="00092A86" w14:paraId="01DE2B25" w14:textId="77777777" w:rsidTr="00736F71">
        <w:trPr>
          <w:trHeight w:val="824"/>
        </w:trPr>
        <w:tc>
          <w:tcPr>
            <w:tcW w:w="3145" w:type="dxa"/>
          </w:tcPr>
          <w:p w14:paraId="4786F1C3" w14:textId="32539CCD" w:rsidR="00092A86" w:rsidRPr="00247A21" w:rsidRDefault="00F608AF" w:rsidP="00F608AF">
            <w:pPr>
              <w:spacing w:after="60"/>
              <w:rPr>
                <w:rFonts w:ascii="Helvetica-Light" w:hAnsi="Helvetica-Light"/>
                <w:sz w:val="18"/>
                <w:szCs w:val="18"/>
                <w:lang w:eastAsia="en-US"/>
              </w:rPr>
            </w:pPr>
            <w:r w:rsidRPr="00247A21">
              <w:rPr>
                <w:rFonts w:ascii="Helvetica-Light" w:hAnsi="Helvetica-Light"/>
                <w:b/>
                <w:bCs/>
                <w:sz w:val="18"/>
                <w:szCs w:val="18"/>
                <w:lang w:eastAsia="en-US"/>
              </w:rPr>
              <w:lastRenderedPageBreak/>
              <w:t>Poor member wellbeing</w:t>
            </w:r>
          </w:p>
        </w:tc>
        <w:tc>
          <w:tcPr>
            <w:tcW w:w="5940" w:type="dxa"/>
          </w:tcPr>
          <w:p w14:paraId="432636DB" w14:textId="23115917"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w:t>
            </w:r>
            <w:r w:rsidR="009229BA" w:rsidRPr="00247A21">
              <w:rPr>
                <w:rFonts w:ascii="Helvetica-Light" w:hAnsi="Helvetica-Light"/>
                <w:sz w:val="18"/>
                <w:szCs w:val="18"/>
                <w:lang w:eastAsia="en-US"/>
              </w:rPr>
              <w:t>breakdown in the physical and mental wellbeing of members</w:t>
            </w:r>
            <w:r w:rsidR="00EE3948" w:rsidRPr="00247A21">
              <w:rPr>
                <w:rFonts w:ascii="Helvetica-Light" w:hAnsi="Helvetica-Light"/>
                <w:sz w:val="18"/>
                <w:szCs w:val="18"/>
                <w:lang w:eastAsia="en-US"/>
              </w:rPr>
              <w:t xml:space="preserve"> leading to </w:t>
            </w:r>
            <w:r w:rsidR="009229BA" w:rsidRPr="00247A21">
              <w:rPr>
                <w:rFonts w:ascii="Helvetica-Light" w:hAnsi="Helvetica-Light"/>
                <w:sz w:val="18"/>
                <w:szCs w:val="18"/>
                <w:lang w:eastAsia="en-US"/>
              </w:rPr>
              <w:t>or accelerat</w:t>
            </w:r>
            <w:r w:rsidR="00EE3948" w:rsidRPr="00247A21">
              <w:rPr>
                <w:rFonts w:ascii="Helvetica-Light" w:hAnsi="Helvetica-Light"/>
                <w:sz w:val="18"/>
                <w:szCs w:val="18"/>
                <w:lang w:eastAsia="en-US"/>
              </w:rPr>
              <w:t>ing</w:t>
            </w:r>
            <w:r w:rsidR="009229BA" w:rsidRPr="00247A21">
              <w:rPr>
                <w:rFonts w:ascii="Helvetica-Light" w:hAnsi="Helvetica-Light"/>
                <w:sz w:val="18"/>
                <w:szCs w:val="18"/>
                <w:lang w:eastAsia="en-US"/>
              </w:rPr>
              <w:t xml:space="preserve"> the risk of service failures</w:t>
            </w:r>
          </w:p>
          <w:p w14:paraId="2C135144" w14:textId="23DE5EFF"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moderate</w:t>
            </w:r>
          </w:p>
          <w:p w14:paraId="151D9654" w14:textId="548B828A" w:rsidR="002D5B51" w:rsidRPr="00247A21" w:rsidRDefault="00C879EB" w:rsidP="002D5B51">
            <w:pPr>
              <w:numPr>
                <w:ilvl w:val="0"/>
                <w:numId w:val="23"/>
              </w:numPr>
              <w:spacing w:after="60"/>
              <w:rPr>
                <w:rFonts w:ascii="Helvetica-Light" w:hAnsi="Helvetica-Light"/>
                <w:sz w:val="18"/>
                <w:szCs w:val="18"/>
              </w:rPr>
            </w:pPr>
            <w:r w:rsidRPr="00247A21">
              <w:rPr>
                <w:rFonts w:ascii="Helvetica-Light" w:hAnsi="Helvetica-Light"/>
                <w:sz w:val="18"/>
                <w:szCs w:val="18"/>
                <w:u w:val="single"/>
                <w:lang w:eastAsia="en-US"/>
              </w:rPr>
              <w:t>Strategy objectives</w:t>
            </w:r>
            <w:r w:rsidRPr="00247A21">
              <w:rPr>
                <w:rFonts w:ascii="Helvetica-Light" w:hAnsi="Helvetica-Light"/>
                <w:sz w:val="18"/>
                <w:szCs w:val="18"/>
                <w:lang w:eastAsia="en-US"/>
              </w:rPr>
              <w:t xml:space="preserve"> e.g. </w:t>
            </w:r>
            <w:r w:rsidR="002D5B51" w:rsidRPr="00247A21">
              <w:rPr>
                <w:rFonts w:ascii="Helvetica-Light" w:hAnsi="Helvetica-Light"/>
                <w:sz w:val="18"/>
                <w:szCs w:val="18"/>
              </w:rPr>
              <w:t>ensure that members are provided with physical and mental wellbeing support services to reduce risk of poor service - prevention of possible escalation is preferable</w:t>
            </w:r>
          </w:p>
          <w:p w14:paraId="2A24EA7B" w14:textId="1945552A"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250816" w:rsidRPr="00247A21">
              <w:rPr>
                <w:rFonts w:ascii="Helvetica-Light" w:hAnsi="Helvetica-Light"/>
                <w:sz w:val="18"/>
                <w:szCs w:val="18"/>
                <w:lang w:eastAsia="en-US"/>
              </w:rPr>
              <w:t>raise awareness of and encouragement to access wellbeing support services</w:t>
            </w:r>
          </w:p>
          <w:p w14:paraId="65444008" w14:textId="336D7508"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250816" w:rsidRPr="00247A21">
              <w:rPr>
                <w:rFonts w:ascii="Helvetica-Light" w:hAnsi="Helvetica-Light"/>
                <w:sz w:val="18"/>
                <w:szCs w:val="18"/>
                <w:lang w:eastAsia="en-US"/>
              </w:rPr>
              <w:t>regular review of support services provided</w:t>
            </w:r>
          </w:p>
          <w:p w14:paraId="3204EBFE" w14:textId="48E95425" w:rsidR="00092A86"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250816" w:rsidRPr="00247A21">
              <w:rPr>
                <w:rFonts w:ascii="Helvetica-Light" w:hAnsi="Helvetica-Light"/>
                <w:sz w:val="18"/>
                <w:szCs w:val="18"/>
                <w:lang w:eastAsia="en-US"/>
              </w:rPr>
              <w:t>analysis of claims and complaint data to identify trends and respond with guidance/educational programs as appropriate</w:t>
            </w:r>
            <w:r w:rsidR="00233FE0">
              <w:rPr>
                <w:rFonts w:ascii="Helvetica-Light" w:hAnsi="Helvetica-Light"/>
                <w:sz w:val="18"/>
                <w:szCs w:val="18"/>
                <w:lang w:eastAsia="en-US"/>
              </w:rPr>
              <w:t>.</w:t>
            </w:r>
          </w:p>
        </w:tc>
      </w:tr>
      <w:tr w:rsidR="00092A86" w:rsidRPr="00092A86" w14:paraId="004D1711" w14:textId="77777777" w:rsidTr="00736F71">
        <w:trPr>
          <w:trHeight w:val="329"/>
        </w:trPr>
        <w:tc>
          <w:tcPr>
            <w:tcW w:w="3145" w:type="dxa"/>
          </w:tcPr>
          <w:p w14:paraId="4329E2F0" w14:textId="2936E194" w:rsidR="00092A86" w:rsidRPr="00247A21" w:rsidRDefault="00F608AF" w:rsidP="00092A86">
            <w:pPr>
              <w:spacing w:after="60"/>
              <w:rPr>
                <w:rFonts w:ascii="Helvetica-Light" w:hAnsi="Helvetica-Light"/>
                <w:sz w:val="18"/>
                <w:szCs w:val="18"/>
                <w:lang w:eastAsia="en-US"/>
              </w:rPr>
            </w:pPr>
            <w:r w:rsidRPr="00247A21">
              <w:rPr>
                <w:rFonts w:ascii="Helvetica-Light" w:hAnsi="Helvetica-Light"/>
                <w:b/>
                <w:bCs/>
                <w:sz w:val="18"/>
                <w:szCs w:val="18"/>
                <w:lang w:eastAsia="en-US"/>
              </w:rPr>
              <w:t xml:space="preserve">Changing profession-specific </w:t>
            </w:r>
            <w:r w:rsidR="00250816" w:rsidRPr="00247A21">
              <w:rPr>
                <w:rFonts w:ascii="Helvetica-Light" w:hAnsi="Helvetica-Light"/>
                <w:b/>
                <w:bCs/>
                <w:sz w:val="18"/>
                <w:szCs w:val="18"/>
                <w:lang w:eastAsia="en-US"/>
              </w:rPr>
              <w:t xml:space="preserve">services and </w:t>
            </w:r>
            <w:r w:rsidRPr="00247A21">
              <w:rPr>
                <w:rFonts w:ascii="Helvetica-Light" w:hAnsi="Helvetica-Light"/>
                <w:b/>
                <w:bCs/>
                <w:sz w:val="18"/>
                <w:szCs w:val="18"/>
                <w:lang w:eastAsia="en-US"/>
              </w:rPr>
              <w:t>landscape</w:t>
            </w:r>
          </w:p>
        </w:tc>
        <w:tc>
          <w:tcPr>
            <w:tcW w:w="5940" w:type="dxa"/>
          </w:tcPr>
          <w:p w14:paraId="44935EED" w14:textId="00C0BF69" w:rsidR="00250816" w:rsidRPr="00247A21" w:rsidRDefault="00C879EB" w:rsidP="00250816">
            <w:pPr>
              <w:numPr>
                <w:ilvl w:val="0"/>
                <w:numId w:val="23"/>
              </w:numPr>
              <w:spacing w:after="60"/>
              <w:rPr>
                <w:rFonts w:ascii="Helvetica-Light" w:hAnsi="Helvetica-Light"/>
                <w:sz w:val="18"/>
                <w:szCs w:val="18"/>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w:t>
            </w:r>
            <w:r w:rsidR="00250816" w:rsidRPr="00247A21">
              <w:rPr>
                <w:rFonts w:ascii="Helvetica-Light" w:hAnsi="Helvetica-Light"/>
                <w:sz w:val="18"/>
                <w:szCs w:val="18"/>
                <w:lang w:eastAsia="en-US"/>
              </w:rPr>
              <w:t xml:space="preserve"> i</w:t>
            </w:r>
            <w:r w:rsidR="00250816" w:rsidRPr="00247A21">
              <w:rPr>
                <w:rFonts w:ascii="Helvetica-Light" w:hAnsi="Helvetica-Light"/>
                <w:sz w:val="18"/>
                <w:szCs w:val="18"/>
              </w:rPr>
              <w:t>dentifying risks arising from a failure by members to embrace changes in the forms of profession-specific services and the market landscape e.g</w:t>
            </w:r>
            <w:r w:rsidR="00233FE0">
              <w:rPr>
                <w:rFonts w:ascii="Helvetica-Light" w:hAnsi="Helvetica-Light"/>
                <w:sz w:val="18"/>
                <w:szCs w:val="18"/>
              </w:rPr>
              <w:t>.</w:t>
            </w:r>
            <w:r w:rsidR="00250816" w:rsidRPr="00247A21">
              <w:rPr>
                <w:rFonts w:ascii="Helvetica-Light" w:hAnsi="Helvetica-Light"/>
                <w:sz w:val="18"/>
                <w:szCs w:val="18"/>
              </w:rPr>
              <w:t xml:space="preserve"> caused by changing environment in technologies, business structures, methods of service delivery (which leads to service failures)</w:t>
            </w:r>
          </w:p>
          <w:p w14:paraId="05FF2868" w14:textId="549C3473"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w:t>
            </w:r>
            <w:r w:rsidR="00250816" w:rsidRPr="00247A21">
              <w:rPr>
                <w:rFonts w:ascii="Helvetica-Light" w:hAnsi="Helvetica-Light"/>
                <w:sz w:val="18"/>
                <w:szCs w:val="18"/>
                <w:lang w:eastAsia="en-US"/>
              </w:rPr>
              <w:t>ild/moderate</w:t>
            </w:r>
          </w:p>
          <w:p w14:paraId="28BDCC63" w14:textId="175FA2D7" w:rsidR="00C879EB" w:rsidRPr="00247A21" w:rsidRDefault="00C879EB" w:rsidP="00C84627">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Strategy objectives</w:t>
            </w:r>
            <w:r w:rsidRPr="00247A21">
              <w:rPr>
                <w:rFonts w:ascii="Helvetica-Light" w:hAnsi="Helvetica-Light"/>
                <w:sz w:val="18"/>
                <w:szCs w:val="18"/>
                <w:lang w:eastAsia="en-US"/>
              </w:rPr>
              <w:t xml:space="preserve"> e.g. ensure </w:t>
            </w:r>
            <w:r w:rsidR="00250816" w:rsidRPr="00247A21">
              <w:rPr>
                <w:rFonts w:ascii="Helvetica-Light" w:hAnsi="Helvetica-Light"/>
                <w:sz w:val="18"/>
                <w:szCs w:val="18"/>
              </w:rPr>
              <w:t xml:space="preserve">that members are provided with information, advice and profession-specific support services to improve their ability to meet the demands of consumers </w:t>
            </w:r>
            <w:r w:rsidR="00250816" w:rsidRPr="00247A21">
              <w:rPr>
                <w:rFonts w:ascii="Helvetica-Light" w:hAnsi="Helvetica-Light"/>
                <w:sz w:val="18"/>
                <w:szCs w:val="18"/>
                <w:lang w:eastAsia="en-US"/>
              </w:rPr>
              <w:t>of their services, including resourcing of the latest technologies</w:t>
            </w:r>
            <w:r w:rsidRPr="00247A21">
              <w:rPr>
                <w:rFonts w:ascii="Helvetica-Light" w:hAnsi="Helvetica-Light"/>
                <w:sz w:val="18"/>
                <w:szCs w:val="18"/>
                <w:lang w:eastAsia="en-US"/>
              </w:rPr>
              <w:t xml:space="preserve"> </w:t>
            </w:r>
          </w:p>
          <w:p w14:paraId="1456CB0F" w14:textId="46B1597A"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250816" w:rsidRPr="00247A21">
              <w:rPr>
                <w:rFonts w:ascii="Helvetica-Light" w:hAnsi="Helvetica-Light"/>
                <w:sz w:val="18"/>
                <w:szCs w:val="18"/>
                <w:lang w:eastAsia="en-US"/>
              </w:rPr>
              <w:t>CPD seminars are offered on the impact of dealing with new technology on the provision of profession-specific services by members</w:t>
            </w:r>
          </w:p>
          <w:p w14:paraId="60B8B0CD" w14:textId="76DD7DFA" w:rsidR="00C879EB" w:rsidRPr="00247A21" w:rsidRDefault="00C879EB" w:rsidP="00C84627">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r</w:t>
            </w:r>
            <w:r w:rsidR="00EE3948" w:rsidRPr="00247A21">
              <w:rPr>
                <w:rFonts w:ascii="Helvetica-Light" w:hAnsi="Helvetica-Light"/>
                <w:sz w:val="18"/>
                <w:szCs w:val="18"/>
              </w:rPr>
              <w:t xml:space="preserve">eview access to CPD seminars on technology changes, cyber-security and data privacy and management, as well as elements of managing service </w:t>
            </w:r>
            <w:r w:rsidR="00EE3948" w:rsidRPr="00247A21">
              <w:rPr>
                <w:rFonts w:ascii="Helvetica-Light" w:hAnsi="Helvetica-Light"/>
                <w:sz w:val="18"/>
                <w:szCs w:val="18"/>
                <w:lang w:eastAsia="en-US"/>
              </w:rPr>
              <w:t>delivery and effective communications in the changing profession-specific service delivery</w:t>
            </w:r>
          </w:p>
          <w:p w14:paraId="38F3E962" w14:textId="66DE90DE" w:rsidR="00092A86"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analysis of feedback from CPD educational courses on changing technologies and cyber-security and data privacy</w:t>
            </w:r>
            <w:r w:rsidR="00973AF4">
              <w:rPr>
                <w:rFonts w:ascii="Helvetica-Light" w:hAnsi="Helvetica-Light"/>
                <w:sz w:val="18"/>
                <w:szCs w:val="18"/>
                <w:lang w:eastAsia="en-US"/>
              </w:rPr>
              <w:t>.</w:t>
            </w:r>
          </w:p>
        </w:tc>
      </w:tr>
      <w:tr w:rsidR="00092A86" w:rsidRPr="00092A86" w14:paraId="0CE6E6D2" w14:textId="77777777" w:rsidTr="00736F71">
        <w:trPr>
          <w:trHeight w:val="527"/>
        </w:trPr>
        <w:tc>
          <w:tcPr>
            <w:tcW w:w="3145" w:type="dxa"/>
          </w:tcPr>
          <w:p w14:paraId="033562B7" w14:textId="715C1F25" w:rsidR="00092A86" w:rsidRPr="00247A21" w:rsidRDefault="00F608AF" w:rsidP="00F608AF">
            <w:pPr>
              <w:spacing w:after="60"/>
              <w:rPr>
                <w:rFonts w:ascii="Helvetica-Light" w:hAnsi="Helvetica-Light"/>
                <w:sz w:val="18"/>
                <w:szCs w:val="18"/>
                <w:lang w:eastAsia="en-US"/>
              </w:rPr>
            </w:pPr>
            <w:r w:rsidRPr="00247A21">
              <w:rPr>
                <w:rFonts w:ascii="Helvetica-Light" w:hAnsi="Helvetica-Light"/>
                <w:b/>
                <w:bCs/>
                <w:sz w:val="18"/>
                <w:szCs w:val="18"/>
                <w:lang w:eastAsia="en-US"/>
              </w:rPr>
              <w:t>Accelerants of risk</w:t>
            </w:r>
          </w:p>
        </w:tc>
        <w:tc>
          <w:tcPr>
            <w:tcW w:w="5940" w:type="dxa"/>
          </w:tcPr>
          <w:p w14:paraId="1BE204CA" w14:textId="4ED9488A"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Cause</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relate to all core risks resulting in poor quality and inadequate services not meeting professional standa</w:t>
            </w:r>
            <w:r w:rsidR="00233FE0">
              <w:rPr>
                <w:rFonts w:ascii="Helvetica-Light" w:hAnsi="Helvetica-Light"/>
                <w:sz w:val="18"/>
                <w:szCs w:val="18"/>
                <w:lang w:eastAsia="en-US"/>
              </w:rPr>
              <w:t>rd</w:t>
            </w:r>
            <w:r w:rsidR="00EE3948" w:rsidRPr="00247A21">
              <w:rPr>
                <w:rFonts w:ascii="Helvetica-Light" w:hAnsi="Helvetica-Light"/>
                <w:sz w:val="18"/>
                <w:szCs w:val="18"/>
                <w:lang w:eastAsia="en-US"/>
              </w:rPr>
              <w:t>s</w:t>
            </w:r>
          </w:p>
          <w:p w14:paraId="48DE76C0" w14:textId="6EA516EE"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Risk status</w:t>
            </w:r>
            <w:r w:rsidRPr="00247A21">
              <w:rPr>
                <w:rFonts w:ascii="Helvetica-Light" w:hAnsi="Helvetica-Light"/>
                <w:sz w:val="18"/>
                <w:szCs w:val="18"/>
                <w:lang w:eastAsia="en-US"/>
              </w:rPr>
              <w:t xml:space="preserve"> e.g. m</w:t>
            </w:r>
            <w:r w:rsidR="00EE3948" w:rsidRPr="00247A21">
              <w:rPr>
                <w:rFonts w:ascii="Helvetica-Light" w:hAnsi="Helvetica-Light"/>
                <w:sz w:val="18"/>
                <w:szCs w:val="18"/>
                <w:lang w:eastAsia="en-US"/>
              </w:rPr>
              <w:t>ild/m</w:t>
            </w:r>
            <w:r w:rsidRPr="00247A21">
              <w:rPr>
                <w:rFonts w:ascii="Helvetica-Light" w:hAnsi="Helvetica-Light"/>
                <w:sz w:val="18"/>
                <w:szCs w:val="18"/>
                <w:lang w:eastAsia="en-US"/>
              </w:rPr>
              <w:t>oderate</w:t>
            </w:r>
          </w:p>
          <w:p w14:paraId="197E7486" w14:textId="52E25973"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lastRenderedPageBreak/>
              <w:t>Strategy objectives</w:t>
            </w:r>
            <w:r w:rsidRPr="00247A21">
              <w:rPr>
                <w:rFonts w:ascii="Helvetica-Light" w:hAnsi="Helvetica-Light"/>
                <w:sz w:val="18"/>
                <w:szCs w:val="18"/>
                <w:lang w:eastAsia="en-US"/>
              </w:rPr>
              <w:t xml:space="preserve"> e.g. ensure</w:t>
            </w:r>
            <w:r w:rsidR="00EE3948" w:rsidRPr="00247A21">
              <w:rPr>
                <w:rFonts w:ascii="Helvetica-Light" w:hAnsi="Helvetica-Light"/>
                <w:sz w:val="18"/>
                <w:szCs w:val="18"/>
                <w:lang w:eastAsia="en-US"/>
              </w:rPr>
              <w:t xml:space="preserve"> that members are provided with information, advice and practice support services to manage pre-existing or accelerant risks</w:t>
            </w:r>
          </w:p>
          <w:p w14:paraId="23490B2E" w14:textId="34A8B768"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to implement strategy (treatments)</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CPD programs and education support</w:t>
            </w:r>
          </w:p>
          <w:p w14:paraId="443E96AA" w14:textId="5C546859" w:rsidR="00C879EB"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monitoring implementation</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monitoring compliance with statutory requirements</w:t>
            </w:r>
          </w:p>
          <w:p w14:paraId="79C81BFE" w14:textId="157B1316" w:rsidR="00092A86" w:rsidRPr="00247A21" w:rsidRDefault="00C879EB" w:rsidP="00C879EB">
            <w:pPr>
              <w:numPr>
                <w:ilvl w:val="0"/>
                <w:numId w:val="23"/>
              </w:numPr>
              <w:spacing w:after="60"/>
              <w:rPr>
                <w:rFonts w:ascii="Helvetica-Light" w:hAnsi="Helvetica-Light"/>
                <w:sz w:val="18"/>
                <w:szCs w:val="18"/>
                <w:lang w:eastAsia="en-US"/>
              </w:rPr>
            </w:pPr>
            <w:r w:rsidRPr="00247A21">
              <w:rPr>
                <w:rFonts w:ascii="Helvetica-Light" w:hAnsi="Helvetica-Light"/>
                <w:sz w:val="18"/>
                <w:szCs w:val="18"/>
                <w:u w:val="single"/>
                <w:lang w:eastAsia="en-US"/>
              </w:rPr>
              <w:t>Means of measuring effectiveness</w:t>
            </w:r>
            <w:r w:rsidRPr="00247A21">
              <w:rPr>
                <w:rFonts w:ascii="Helvetica-Light" w:hAnsi="Helvetica-Light"/>
                <w:sz w:val="18"/>
                <w:szCs w:val="18"/>
                <w:lang w:eastAsia="en-US"/>
              </w:rPr>
              <w:t xml:space="preserve"> e.g. </w:t>
            </w:r>
            <w:r w:rsidR="00EE3948" w:rsidRPr="00247A21">
              <w:rPr>
                <w:rFonts w:ascii="Helvetica-Light" w:hAnsi="Helvetica-Light"/>
                <w:sz w:val="18"/>
                <w:szCs w:val="18"/>
                <w:lang w:eastAsia="en-US"/>
              </w:rPr>
              <w:t xml:space="preserve">obtain feedback on the use of </w:t>
            </w:r>
            <w:r w:rsidR="00696C7D" w:rsidRPr="00247A21">
              <w:rPr>
                <w:rFonts w:ascii="Helvetica-Light" w:hAnsi="Helvetica-Light"/>
                <w:sz w:val="18"/>
                <w:szCs w:val="18"/>
                <w:lang w:eastAsia="en-US"/>
              </w:rPr>
              <w:t>‘w</w:t>
            </w:r>
            <w:r w:rsidR="00EE3948" w:rsidRPr="00247A21">
              <w:rPr>
                <w:rFonts w:ascii="Helvetica-Light" w:hAnsi="Helvetica-Light"/>
                <w:sz w:val="18"/>
                <w:szCs w:val="18"/>
                <w:lang w:eastAsia="en-US"/>
              </w:rPr>
              <w:t>ellbeing</w:t>
            </w:r>
            <w:r w:rsidR="00696C7D" w:rsidRPr="00247A21">
              <w:rPr>
                <w:rFonts w:ascii="Helvetica-Light" w:hAnsi="Helvetica-Light"/>
                <w:sz w:val="18"/>
                <w:szCs w:val="18"/>
                <w:lang w:eastAsia="en-US"/>
              </w:rPr>
              <w:t>’</w:t>
            </w:r>
            <w:r w:rsidR="00EE3948" w:rsidRPr="00247A21">
              <w:rPr>
                <w:rFonts w:ascii="Helvetica-Light" w:hAnsi="Helvetica-Light"/>
                <w:sz w:val="18"/>
                <w:szCs w:val="18"/>
                <w:lang w:eastAsia="en-US"/>
              </w:rPr>
              <w:t xml:space="preserve"> courses and resources</w:t>
            </w:r>
            <w:r w:rsidR="00CE3388">
              <w:rPr>
                <w:rFonts w:ascii="Helvetica-Light" w:hAnsi="Helvetica-Light"/>
                <w:sz w:val="18"/>
                <w:szCs w:val="18"/>
                <w:lang w:eastAsia="en-US"/>
              </w:rPr>
              <w:t>.</w:t>
            </w:r>
          </w:p>
        </w:tc>
      </w:tr>
    </w:tbl>
    <w:p w14:paraId="72B09F1F" w14:textId="77777777" w:rsidR="00092A86" w:rsidRDefault="00092A86" w:rsidP="00E96139">
      <w:pPr>
        <w:pStyle w:val="BodyText"/>
        <w:ind w:left="720"/>
        <w:rPr>
          <w:rFonts w:ascii="Helvetica-Light" w:hAnsi="Helvetica-Light"/>
          <w:sz w:val="22"/>
          <w:szCs w:val="22"/>
        </w:rPr>
      </w:pPr>
    </w:p>
    <w:sectPr w:rsidR="00092A8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5CB06" w14:textId="77777777" w:rsidR="006C4C4A" w:rsidRDefault="006C4C4A" w:rsidP="00710F7E">
      <w:r>
        <w:separator/>
      </w:r>
    </w:p>
  </w:endnote>
  <w:endnote w:type="continuationSeparator" w:id="0">
    <w:p w14:paraId="099582A9" w14:textId="77777777" w:rsidR="006C4C4A" w:rsidRDefault="006C4C4A" w:rsidP="00710F7E">
      <w:r>
        <w:continuationSeparator/>
      </w:r>
    </w:p>
  </w:endnote>
  <w:endnote w:type="continuationNotice" w:id="1">
    <w:p w14:paraId="0430C650" w14:textId="77777777" w:rsidR="006C4C4A" w:rsidRDefault="006C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C4E3" w14:textId="77777777" w:rsidR="00976EEA" w:rsidRDefault="0097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247A21">
              <w:rPr>
                <w:rFonts w:ascii="Helvetica-Light" w:hAnsi="Helvetica-Light"/>
                <w:sz w:val="20"/>
                <w:szCs w:val="20"/>
              </w:rPr>
              <w:t xml:space="preserve">Page </w:t>
            </w:r>
            <w:r w:rsidRPr="00247A21">
              <w:rPr>
                <w:rFonts w:ascii="Helvetica-Light" w:hAnsi="Helvetica-Light"/>
                <w:b/>
                <w:bCs/>
                <w:sz w:val="20"/>
                <w:szCs w:val="20"/>
              </w:rPr>
              <w:fldChar w:fldCharType="begin"/>
            </w:r>
            <w:r w:rsidRPr="00247A21">
              <w:rPr>
                <w:rFonts w:ascii="Helvetica-Light" w:hAnsi="Helvetica-Light"/>
                <w:b/>
                <w:bCs/>
                <w:sz w:val="20"/>
                <w:szCs w:val="20"/>
              </w:rPr>
              <w:instrText xml:space="preserve"> PAGE </w:instrText>
            </w:r>
            <w:r w:rsidRPr="00247A21">
              <w:rPr>
                <w:rFonts w:ascii="Helvetica-Light" w:hAnsi="Helvetica-Light"/>
                <w:b/>
                <w:bCs/>
                <w:sz w:val="20"/>
                <w:szCs w:val="20"/>
              </w:rPr>
              <w:fldChar w:fldCharType="separate"/>
            </w:r>
            <w:r w:rsidRPr="00247A21">
              <w:rPr>
                <w:rFonts w:ascii="Helvetica-Light" w:hAnsi="Helvetica-Light"/>
                <w:b/>
                <w:bCs/>
                <w:sz w:val="20"/>
                <w:szCs w:val="20"/>
              </w:rPr>
              <w:t>2</w:t>
            </w:r>
            <w:r w:rsidRPr="00247A21">
              <w:rPr>
                <w:rFonts w:ascii="Helvetica-Light" w:hAnsi="Helvetica-Light"/>
                <w:b/>
                <w:bCs/>
                <w:sz w:val="20"/>
                <w:szCs w:val="20"/>
              </w:rPr>
              <w:fldChar w:fldCharType="end"/>
            </w:r>
            <w:r w:rsidRPr="00247A21">
              <w:rPr>
                <w:rFonts w:ascii="Helvetica-Light" w:hAnsi="Helvetica-Light"/>
                <w:sz w:val="20"/>
                <w:szCs w:val="20"/>
              </w:rPr>
              <w:t xml:space="preserve"> of </w:t>
            </w:r>
            <w:r w:rsidRPr="00247A21">
              <w:rPr>
                <w:rFonts w:ascii="Helvetica-Light" w:hAnsi="Helvetica-Light"/>
                <w:b/>
                <w:bCs/>
                <w:sz w:val="20"/>
                <w:szCs w:val="20"/>
              </w:rPr>
              <w:fldChar w:fldCharType="begin"/>
            </w:r>
            <w:r w:rsidRPr="00247A21">
              <w:rPr>
                <w:rFonts w:ascii="Helvetica-Light" w:hAnsi="Helvetica-Light"/>
                <w:b/>
                <w:bCs/>
                <w:sz w:val="20"/>
                <w:szCs w:val="20"/>
              </w:rPr>
              <w:instrText xml:space="preserve"> NUMPAGES  </w:instrText>
            </w:r>
            <w:r w:rsidRPr="00247A21">
              <w:rPr>
                <w:rFonts w:ascii="Helvetica-Light" w:hAnsi="Helvetica-Light"/>
                <w:b/>
                <w:bCs/>
                <w:sz w:val="20"/>
                <w:szCs w:val="20"/>
              </w:rPr>
              <w:fldChar w:fldCharType="separate"/>
            </w:r>
            <w:r w:rsidRPr="00247A21">
              <w:rPr>
                <w:rFonts w:ascii="Helvetica-Light" w:hAnsi="Helvetica-Light"/>
                <w:b/>
                <w:bCs/>
                <w:sz w:val="20"/>
                <w:szCs w:val="20"/>
              </w:rPr>
              <w:t>2</w:t>
            </w:r>
            <w:r w:rsidRPr="00247A21">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4BD4" w14:textId="77777777" w:rsidR="00976EEA" w:rsidRDefault="0097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33E4" w14:textId="77777777" w:rsidR="006C4C4A" w:rsidRDefault="006C4C4A" w:rsidP="00710F7E">
      <w:r>
        <w:separator/>
      </w:r>
    </w:p>
  </w:footnote>
  <w:footnote w:type="continuationSeparator" w:id="0">
    <w:p w14:paraId="02402BF0" w14:textId="77777777" w:rsidR="006C4C4A" w:rsidRDefault="006C4C4A" w:rsidP="00710F7E">
      <w:r>
        <w:continuationSeparator/>
      </w:r>
    </w:p>
  </w:footnote>
  <w:footnote w:type="continuationNotice" w:id="1">
    <w:p w14:paraId="7055D7BA" w14:textId="77777777" w:rsidR="006C4C4A" w:rsidRDefault="006C4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F64B" w14:textId="186B3BA3" w:rsidR="00976EEA" w:rsidRDefault="00976EEA">
    <w:pPr>
      <w:pStyle w:val="Header"/>
    </w:pPr>
    <w:r>
      <w:rPr>
        <w:noProof/>
      </w:rPr>
      <w:pict w14:anchorId="46752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532"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03A68903" w:rsidR="00967873" w:rsidRDefault="00976EEA">
    <w:pPr>
      <w:pStyle w:val="Header"/>
    </w:pPr>
    <w:r>
      <w:rPr>
        <w:noProof/>
      </w:rPr>
      <w:pict w14:anchorId="22F74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533"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9714" w14:textId="4841C2F2" w:rsidR="00976EEA" w:rsidRDefault="00976EEA">
    <w:pPr>
      <w:pStyle w:val="Header"/>
    </w:pPr>
    <w:r>
      <w:rPr>
        <w:noProof/>
      </w:rPr>
      <w:pict w14:anchorId="0F86F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4531"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8D0"/>
    <w:multiLevelType w:val="hybridMultilevel"/>
    <w:tmpl w:val="CAA8411A"/>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4402C"/>
    <w:multiLevelType w:val="hybridMultilevel"/>
    <w:tmpl w:val="3D3A3C40"/>
    <w:lvl w:ilvl="0" w:tplc="0C090003">
      <w:start w:val="1"/>
      <w:numFmt w:val="bullet"/>
      <w:lvlText w:val="o"/>
      <w:lvlJc w:val="left"/>
      <w:pPr>
        <w:ind w:left="900" w:hanging="360"/>
      </w:pPr>
      <w:rPr>
        <w:rFonts w:ascii="Courier New" w:hAnsi="Courier New" w:cs="Courier New"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8250E"/>
    <w:multiLevelType w:val="hybridMultilevel"/>
    <w:tmpl w:val="68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7"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8"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9"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0"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4041A"/>
    <w:multiLevelType w:val="hybridMultilevel"/>
    <w:tmpl w:val="0FD26BDE"/>
    <w:lvl w:ilvl="0" w:tplc="650ACF58">
      <w:start w:val="1"/>
      <w:numFmt w:val="lowerLetter"/>
      <w:lvlText w:val="%1."/>
      <w:lvlJc w:val="left"/>
      <w:pPr>
        <w:ind w:left="360" w:hanging="360"/>
      </w:pPr>
      <w:rPr>
        <w:b w:val="0"/>
        <w:b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8F1C91"/>
    <w:multiLevelType w:val="hybridMultilevel"/>
    <w:tmpl w:val="3D94B1B6"/>
    <w:lvl w:ilvl="0" w:tplc="0C090019">
      <w:start w:val="1"/>
      <w:numFmt w:val="lowerLetter"/>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3" w15:restartNumberingAfterBreak="0">
    <w:nsid w:val="2385525A"/>
    <w:multiLevelType w:val="hybridMultilevel"/>
    <w:tmpl w:val="FBEE818A"/>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5" w15:restartNumberingAfterBreak="0">
    <w:nsid w:val="284932B5"/>
    <w:multiLevelType w:val="hybridMultilevel"/>
    <w:tmpl w:val="09742B56"/>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F25A3"/>
    <w:multiLevelType w:val="multilevel"/>
    <w:tmpl w:val="3B4C3382"/>
    <w:lvl w:ilvl="0">
      <w:start w:val="4"/>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B61DBF"/>
    <w:multiLevelType w:val="hybridMultilevel"/>
    <w:tmpl w:val="659EF1E6"/>
    <w:lvl w:ilvl="0" w:tplc="D0F291BE">
      <w:start w:val="1"/>
      <w:numFmt w:val="decimal"/>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20"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1C2ABA"/>
    <w:multiLevelType w:val="hybridMultilevel"/>
    <w:tmpl w:val="7CE855F0"/>
    <w:lvl w:ilvl="0" w:tplc="6464E37C">
      <w:start w:val="1"/>
      <w:numFmt w:val="bullet"/>
      <w:lvlText w:val=""/>
      <w:lvlJc w:val="left"/>
      <w:pPr>
        <w:ind w:left="900" w:hanging="360"/>
      </w:pPr>
      <w:rPr>
        <w:rFonts w:ascii="Symbol" w:hAnsi="Symbol"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3"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44139E"/>
    <w:multiLevelType w:val="hybridMultilevel"/>
    <w:tmpl w:val="94A4DCA6"/>
    <w:lvl w:ilvl="0" w:tplc="7CA06880">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256A7E"/>
    <w:multiLevelType w:val="hybridMultilevel"/>
    <w:tmpl w:val="E9EEE2FE"/>
    <w:lvl w:ilvl="0" w:tplc="AF087BCA">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004E7C"/>
    <w:multiLevelType w:val="hybridMultilevel"/>
    <w:tmpl w:val="6590CEC0"/>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2E11C0"/>
    <w:multiLevelType w:val="hybridMultilevel"/>
    <w:tmpl w:val="63064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1"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0964A8"/>
    <w:multiLevelType w:val="hybridMultilevel"/>
    <w:tmpl w:val="A52C383E"/>
    <w:lvl w:ilvl="0" w:tplc="43DE20E4">
      <w:start w:val="10"/>
      <w:numFmt w:val="decimal"/>
      <w:lvlText w:val="%1."/>
      <w:lvlJc w:val="left"/>
      <w:pPr>
        <w:ind w:left="720" w:hanging="360"/>
      </w:pPr>
      <w:rPr>
        <w:rFonts w:hint="default"/>
      </w:rPr>
    </w:lvl>
    <w:lvl w:ilvl="1" w:tplc="319A6D6A">
      <w:start w:val="1"/>
      <w:numFmt w:val="lowerLetter"/>
      <w:lvlText w:val="%2."/>
      <w:lvlJc w:val="left"/>
      <w:pPr>
        <w:ind w:left="1440" w:hanging="360"/>
      </w:pPr>
      <w:rPr>
        <w:rFonts w:hint="default"/>
        <w:b w:val="0"/>
        <w:bCs w:val="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D5E3863"/>
    <w:multiLevelType w:val="hybridMultilevel"/>
    <w:tmpl w:val="DB70EA4C"/>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5"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EC0A7B"/>
    <w:multiLevelType w:val="hybridMultilevel"/>
    <w:tmpl w:val="89946056"/>
    <w:lvl w:ilvl="0" w:tplc="650ACF58">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43F14E2"/>
    <w:multiLevelType w:val="hybridMultilevel"/>
    <w:tmpl w:val="C68C9294"/>
    <w:lvl w:ilvl="0" w:tplc="A3487C86">
      <w:start w:val="4"/>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0"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1" w15:restartNumberingAfterBreak="0">
    <w:nsid w:val="6DDD09A3"/>
    <w:multiLevelType w:val="hybridMultilevel"/>
    <w:tmpl w:val="AD78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167E84"/>
    <w:multiLevelType w:val="hybridMultilevel"/>
    <w:tmpl w:val="A112E15A"/>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A0767"/>
    <w:multiLevelType w:val="hybridMultilevel"/>
    <w:tmpl w:val="390A96FE"/>
    <w:lvl w:ilvl="0" w:tplc="B246CD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2935EE"/>
    <w:multiLevelType w:val="hybridMultilevel"/>
    <w:tmpl w:val="00C49CF6"/>
    <w:lvl w:ilvl="0" w:tplc="DAC40A1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0"/>
  </w:num>
  <w:num w:numId="5">
    <w:abstractNumId w:val="17"/>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4"/>
  </w:num>
  <w:num w:numId="10">
    <w:abstractNumId w:val="36"/>
  </w:num>
  <w:num w:numId="11">
    <w:abstractNumId w:val="16"/>
  </w:num>
  <w:num w:numId="12">
    <w:abstractNumId w:val="19"/>
  </w:num>
  <w:num w:numId="13">
    <w:abstractNumId w:val="32"/>
  </w:num>
  <w:num w:numId="14">
    <w:abstractNumId w:val="9"/>
  </w:num>
  <w:num w:numId="15">
    <w:abstractNumId w:val="3"/>
  </w:num>
  <w:num w:numId="16">
    <w:abstractNumId w:val="7"/>
  </w:num>
  <w:num w:numId="17">
    <w:abstractNumId w:val="10"/>
  </w:num>
  <w:num w:numId="18">
    <w:abstractNumId w:val="8"/>
  </w:num>
  <w:num w:numId="19">
    <w:abstractNumId w:val="21"/>
  </w:num>
  <w:num w:numId="20">
    <w:abstractNumId w:val="28"/>
  </w:num>
  <w:num w:numId="21">
    <w:abstractNumId w:val="20"/>
  </w:num>
  <w:num w:numId="22">
    <w:abstractNumId w:val="27"/>
  </w:num>
  <w:num w:numId="23">
    <w:abstractNumId w:val="5"/>
  </w:num>
  <w:num w:numId="24">
    <w:abstractNumId w:val="35"/>
  </w:num>
  <w:num w:numId="25">
    <w:abstractNumId w:val="30"/>
  </w:num>
  <w:num w:numId="26">
    <w:abstractNumId w:val="6"/>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29"/>
  </w:num>
  <w:num w:numId="32">
    <w:abstractNumId w:val="41"/>
  </w:num>
  <w:num w:numId="33">
    <w:abstractNumId w:val="11"/>
  </w:num>
  <w:num w:numId="34">
    <w:abstractNumId w:val="12"/>
  </w:num>
  <w:num w:numId="35">
    <w:abstractNumId w:val="25"/>
  </w:num>
  <w:num w:numId="36">
    <w:abstractNumId w:val="1"/>
  </w:num>
  <w:num w:numId="37">
    <w:abstractNumId w:val="13"/>
  </w:num>
  <w:num w:numId="38">
    <w:abstractNumId w:val="44"/>
  </w:num>
  <w:num w:numId="39">
    <w:abstractNumId w:val="37"/>
  </w:num>
  <w:num w:numId="40">
    <w:abstractNumId w:val="38"/>
  </w:num>
  <w:num w:numId="41">
    <w:abstractNumId w:val="24"/>
  </w:num>
  <w:num w:numId="42">
    <w:abstractNumId w:val="15"/>
  </w:num>
  <w:num w:numId="43">
    <w:abstractNumId w:val="43"/>
  </w:num>
  <w:num w:numId="44">
    <w:abstractNumId w:val="33"/>
  </w:num>
  <w:num w:numId="45">
    <w:abstractNumId w:val="42"/>
  </w:num>
  <w:num w:numId="46">
    <w:abstractNumId w:val="2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047FC"/>
    <w:rsid w:val="0001122E"/>
    <w:rsid w:val="00081B65"/>
    <w:rsid w:val="00092A86"/>
    <w:rsid w:val="000B00DA"/>
    <w:rsid w:val="000B3DC6"/>
    <w:rsid w:val="000D64DC"/>
    <w:rsid w:val="0012688B"/>
    <w:rsid w:val="0014620C"/>
    <w:rsid w:val="00146B7F"/>
    <w:rsid w:val="00162268"/>
    <w:rsid w:val="00176357"/>
    <w:rsid w:val="001861F8"/>
    <w:rsid w:val="00193F63"/>
    <w:rsid w:val="00195378"/>
    <w:rsid w:val="00195541"/>
    <w:rsid w:val="001D464D"/>
    <w:rsid w:val="00222FE2"/>
    <w:rsid w:val="002316D4"/>
    <w:rsid w:val="00233FE0"/>
    <w:rsid w:val="00247A21"/>
    <w:rsid w:val="00250816"/>
    <w:rsid w:val="00265215"/>
    <w:rsid w:val="002D5B51"/>
    <w:rsid w:val="002D6598"/>
    <w:rsid w:val="00350FA3"/>
    <w:rsid w:val="00354A9C"/>
    <w:rsid w:val="00372C5F"/>
    <w:rsid w:val="00380846"/>
    <w:rsid w:val="0038378D"/>
    <w:rsid w:val="003A033E"/>
    <w:rsid w:val="003D62F4"/>
    <w:rsid w:val="003E2301"/>
    <w:rsid w:val="003E461F"/>
    <w:rsid w:val="004043F1"/>
    <w:rsid w:val="004165BD"/>
    <w:rsid w:val="00435420"/>
    <w:rsid w:val="004418AB"/>
    <w:rsid w:val="00454CD8"/>
    <w:rsid w:val="004E703E"/>
    <w:rsid w:val="0051663D"/>
    <w:rsid w:val="00521540"/>
    <w:rsid w:val="00523174"/>
    <w:rsid w:val="005662A6"/>
    <w:rsid w:val="005D2280"/>
    <w:rsid w:val="0060747C"/>
    <w:rsid w:val="006231C0"/>
    <w:rsid w:val="006661E0"/>
    <w:rsid w:val="00696C7D"/>
    <w:rsid w:val="006A6704"/>
    <w:rsid w:val="006C4C4A"/>
    <w:rsid w:val="006C5B7E"/>
    <w:rsid w:val="006E069F"/>
    <w:rsid w:val="006E6F6F"/>
    <w:rsid w:val="006E70D6"/>
    <w:rsid w:val="00710F7E"/>
    <w:rsid w:val="0071335E"/>
    <w:rsid w:val="00716B66"/>
    <w:rsid w:val="00736F71"/>
    <w:rsid w:val="00754651"/>
    <w:rsid w:val="007D0C1E"/>
    <w:rsid w:val="00814CFC"/>
    <w:rsid w:val="00816DE0"/>
    <w:rsid w:val="00841AD9"/>
    <w:rsid w:val="0087441D"/>
    <w:rsid w:val="0088541A"/>
    <w:rsid w:val="008875D3"/>
    <w:rsid w:val="0089454C"/>
    <w:rsid w:val="008B2339"/>
    <w:rsid w:val="008E5C9C"/>
    <w:rsid w:val="008F48A3"/>
    <w:rsid w:val="009226EA"/>
    <w:rsid w:val="009229BA"/>
    <w:rsid w:val="00924533"/>
    <w:rsid w:val="00952F55"/>
    <w:rsid w:val="00963ABC"/>
    <w:rsid w:val="00967873"/>
    <w:rsid w:val="00973AF4"/>
    <w:rsid w:val="00976EEA"/>
    <w:rsid w:val="00986AE9"/>
    <w:rsid w:val="009A627C"/>
    <w:rsid w:val="009B0445"/>
    <w:rsid w:val="009C71F1"/>
    <w:rsid w:val="00A23B1D"/>
    <w:rsid w:val="00A266BE"/>
    <w:rsid w:val="00AD2390"/>
    <w:rsid w:val="00AF3654"/>
    <w:rsid w:val="00B153C4"/>
    <w:rsid w:val="00B404BA"/>
    <w:rsid w:val="00B567DB"/>
    <w:rsid w:val="00B94CCF"/>
    <w:rsid w:val="00BD4227"/>
    <w:rsid w:val="00C743D6"/>
    <w:rsid w:val="00C84627"/>
    <w:rsid w:val="00C879EB"/>
    <w:rsid w:val="00CA6134"/>
    <w:rsid w:val="00CB0EA0"/>
    <w:rsid w:val="00CE3388"/>
    <w:rsid w:val="00D214E8"/>
    <w:rsid w:val="00D404EC"/>
    <w:rsid w:val="00D533FB"/>
    <w:rsid w:val="00D713F9"/>
    <w:rsid w:val="00D90EE1"/>
    <w:rsid w:val="00DA7E57"/>
    <w:rsid w:val="00DC32BF"/>
    <w:rsid w:val="00E337C4"/>
    <w:rsid w:val="00E77DBE"/>
    <w:rsid w:val="00E96139"/>
    <w:rsid w:val="00EB029E"/>
    <w:rsid w:val="00EB52B1"/>
    <w:rsid w:val="00EE3948"/>
    <w:rsid w:val="00EF776F"/>
    <w:rsid w:val="00F516B9"/>
    <w:rsid w:val="00F608AF"/>
    <w:rsid w:val="00F943C6"/>
    <w:rsid w:val="00FB6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E18B1CA4-5DC1-4E2D-8F1B-2C300E2B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locked/>
    <w:rsid w:val="00D713F9"/>
    <w:rPr>
      <w:rFonts w:ascii="Arial" w:hAnsi="Arial" w:cs="Arial"/>
      <w:sz w:val="36"/>
      <w:szCs w:val="24"/>
    </w:rPr>
  </w:style>
  <w:style w:type="paragraph" w:styleId="BodyText">
    <w:name w:val="Body Text"/>
    <w:aliases w:val="Body Text Char Char"/>
    <w:basedOn w:val="Normal"/>
    <w:link w:val="BodyTextChar"/>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2F55"/>
    <w:pPr>
      <w:ind w:left="720"/>
      <w:contextualSpacing/>
    </w:pPr>
  </w:style>
  <w:style w:type="table" w:customStyle="1" w:styleId="TableGrid1">
    <w:name w:val="Table Grid1"/>
    <w:basedOn w:val="TableNormal"/>
    <w:next w:val="TableGrid"/>
    <w:uiPriority w:val="59"/>
    <w:rsid w:val="00092A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7707">
      <w:bodyDiv w:val="1"/>
      <w:marLeft w:val="0"/>
      <w:marRight w:val="0"/>
      <w:marTop w:val="0"/>
      <w:marBottom w:val="0"/>
      <w:divBdr>
        <w:top w:val="none" w:sz="0" w:space="0" w:color="auto"/>
        <w:left w:val="none" w:sz="0" w:space="0" w:color="auto"/>
        <w:bottom w:val="none" w:sz="0" w:space="0" w:color="auto"/>
        <w:right w:val="none" w:sz="0" w:space="0" w:color="auto"/>
      </w:divBdr>
    </w:div>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30A92-F723-4D91-A217-24915AEA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E4EBF-489C-4615-BAF4-7F9F1E615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59</cp:revision>
  <dcterms:created xsi:type="dcterms:W3CDTF">2021-04-16T23:56:00Z</dcterms:created>
  <dcterms:modified xsi:type="dcterms:W3CDTF">2021-06-30T04:48:00Z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